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56FCD" w14:textId="77777777" w:rsidR="00044F83" w:rsidRPr="00044F83" w:rsidRDefault="00044F83" w:rsidP="00044F83">
      <w:pPr>
        <w:keepNext/>
        <w:keepLines/>
        <w:spacing w:before="40" w:after="0" w:line="276" w:lineRule="auto"/>
        <w:outlineLvl w:val="1"/>
        <w:rPr>
          <w:rFonts w:ascii="Arial Narrow" w:eastAsia="Times New Roman" w:hAnsi="Arial Narrow" w:cs="Times New Roman"/>
          <w:b/>
          <w:sz w:val="28"/>
          <w:szCs w:val="26"/>
        </w:rPr>
      </w:pPr>
      <w:bookmarkStart w:id="0" w:name="_Toc156560648"/>
      <w:r w:rsidRPr="00044F83">
        <w:rPr>
          <w:rFonts w:ascii="Arial Narrow" w:eastAsia="Times New Roman" w:hAnsi="Arial Narrow" w:cs="Times New Roman"/>
          <w:b/>
          <w:color w:val="FF0000"/>
          <w:sz w:val="28"/>
          <w:szCs w:val="26"/>
        </w:rPr>
        <w:t xml:space="preserve">Aneksi 3.2 </w:t>
      </w:r>
      <w:r w:rsidRPr="00044F83">
        <w:rPr>
          <w:rFonts w:ascii="Arial" w:eastAsia="Times New Roman" w:hAnsi="Arial" w:cs="Arial"/>
          <w:b/>
          <w:sz w:val="28"/>
          <w:szCs w:val="28"/>
        </w:rPr>
        <w:t>M</w:t>
      </w:r>
      <w:r w:rsidRPr="00044F83">
        <w:rPr>
          <w:rFonts w:ascii="Arial" w:eastAsia="Times New Roman" w:hAnsi="Arial" w:cs="Arial"/>
          <w:b/>
          <w:bCs/>
          <w:sz w:val="28"/>
          <w:szCs w:val="28"/>
        </w:rPr>
        <w:t>jetet që ndihmojnë vendim-marrjen klinike</w:t>
      </w:r>
      <w:r w:rsidRPr="00044F83">
        <w:rPr>
          <w:rFonts w:ascii="Arial" w:eastAsia="Times New Roman" w:hAnsi="Arial" w:cs="Arial"/>
          <w:b/>
          <w:bCs/>
          <w:szCs w:val="24"/>
        </w:rPr>
        <w:t xml:space="preserve"> </w:t>
      </w:r>
      <w:r w:rsidRPr="00044F83">
        <w:rPr>
          <w:rFonts w:ascii="Arial Narrow" w:eastAsia="Times New Roman" w:hAnsi="Arial Narrow" w:cs="Times New Roman"/>
          <w:b/>
          <w:sz w:val="28"/>
          <w:szCs w:val="26"/>
        </w:rPr>
        <w:t>në zbatim të protokolleve për parandalimin dhe mjekimin e HTA, Diabetit, Dislipidemisë, Astmës dhe SPOK në KSHP - pjesë e kartelës së pacientit</w:t>
      </w:r>
      <w:bookmarkEnd w:id="0"/>
      <w:r w:rsidRPr="00044F83">
        <w:rPr>
          <w:rFonts w:ascii="Arial Narrow" w:eastAsia="Times New Roman" w:hAnsi="Arial Narrow" w:cs="Times New Roman"/>
          <w:b/>
          <w:sz w:val="28"/>
          <w:szCs w:val="26"/>
        </w:rPr>
        <w:t xml:space="preserve"> </w:t>
      </w:r>
    </w:p>
    <w:p w14:paraId="2BAECEAF" w14:textId="77777777" w:rsidR="00044F83" w:rsidRPr="00044F83" w:rsidRDefault="00044F83" w:rsidP="00044F83">
      <w:pPr>
        <w:spacing w:after="200" w:line="276" w:lineRule="auto"/>
        <w:rPr>
          <w:rFonts w:ascii="Arial" w:eastAsia="Times New Roman" w:hAnsi="Arial" w:cs="Arial"/>
          <w:b/>
          <w:szCs w:val="24"/>
        </w:rPr>
      </w:pPr>
    </w:p>
    <w:tbl>
      <w:tblPr>
        <w:tblW w:w="89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0"/>
      </w:tblGrid>
      <w:tr w:rsidR="00044F83" w:rsidRPr="00044F83" w14:paraId="30A79901" w14:textId="77777777" w:rsidTr="0065025E">
        <w:trPr>
          <w:trHeight w:val="292"/>
        </w:trPr>
        <w:tc>
          <w:tcPr>
            <w:tcW w:w="8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BE6CA" w14:textId="77777777" w:rsidR="00044F83" w:rsidRPr="00044F83" w:rsidRDefault="00044F83" w:rsidP="00044F83">
            <w:pPr>
              <w:spacing w:after="200" w:line="276" w:lineRule="auto"/>
              <w:rPr>
                <w:rFonts w:ascii="Arial" w:eastAsia="Times New Roman" w:hAnsi="Arial" w:cs="Arial"/>
                <w:b/>
                <w:szCs w:val="24"/>
              </w:rPr>
            </w:pPr>
            <w:r w:rsidRPr="00044F83">
              <w:rPr>
                <w:rFonts w:ascii="Arial" w:eastAsia="Times New Roman" w:hAnsi="Arial" w:cs="Arial"/>
                <w:b/>
                <w:bCs/>
                <w:szCs w:val="24"/>
              </w:rPr>
              <w:t>Mjetet që ndihmojnë vendim-marrjen klinike</w:t>
            </w:r>
            <w:r w:rsidRPr="00044F83">
              <w:rPr>
                <w:rFonts w:ascii="Arial" w:eastAsia="Times New Roman" w:hAnsi="Arial" w:cs="Arial"/>
                <w:bCs/>
                <w:szCs w:val="24"/>
              </w:rPr>
              <w:t xml:space="preserve"> </w:t>
            </w:r>
            <w:r w:rsidRPr="00044F83">
              <w:rPr>
                <w:rFonts w:ascii="Arial" w:eastAsia="Times New Roman" w:hAnsi="Arial" w:cs="Arial"/>
                <w:b/>
                <w:szCs w:val="24"/>
              </w:rPr>
              <w:t>n</w:t>
            </w:r>
            <w:r w:rsidRPr="00044F83">
              <w:rPr>
                <w:rFonts w:ascii="Arial" w:eastAsia="Calibri" w:hAnsi="Arial" w:cs="Arial"/>
                <w:b/>
                <w:color w:val="000000"/>
                <w:szCs w:val="24"/>
              </w:rPr>
              <w:t>ë</w:t>
            </w:r>
            <w:r w:rsidRPr="00044F83">
              <w:rPr>
                <w:rFonts w:ascii="Arial" w:eastAsia="Times New Roman" w:hAnsi="Arial" w:cs="Arial"/>
                <w:b/>
                <w:szCs w:val="24"/>
              </w:rPr>
              <w:t xml:space="preserve"> zbatim t</w:t>
            </w:r>
            <w:r w:rsidRPr="00044F83">
              <w:rPr>
                <w:rFonts w:ascii="Arial" w:eastAsia="Calibri" w:hAnsi="Arial" w:cs="Arial"/>
                <w:b/>
                <w:color w:val="000000"/>
                <w:szCs w:val="24"/>
              </w:rPr>
              <w:t>ë</w:t>
            </w:r>
            <w:r w:rsidRPr="00044F83">
              <w:rPr>
                <w:rFonts w:ascii="Arial" w:eastAsia="Times New Roman" w:hAnsi="Arial" w:cs="Arial"/>
                <w:b/>
                <w:szCs w:val="24"/>
              </w:rPr>
              <w:t xml:space="preserve"> protokolleve p</w:t>
            </w:r>
            <w:r w:rsidRPr="00044F83">
              <w:rPr>
                <w:rFonts w:ascii="Arial" w:eastAsia="Calibri" w:hAnsi="Arial" w:cs="Arial"/>
                <w:b/>
                <w:color w:val="000000"/>
                <w:szCs w:val="24"/>
              </w:rPr>
              <w:t>ë</w:t>
            </w:r>
            <w:r w:rsidRPr="00044F83">
              <w:rPr>
                <w:rFonts w:ascii="Arial" w:eastAsia="Times New Roman" w:hAnsi="Arial" w:cs="Arial"/>
                <w:b/>
                <w:szCs w:val="24"/>
              </w:rPr>
              <w:t>r 5SJT- pjes</w:t>
            </w:r>
            <w:r w:rsidRPr="00044F83">
              <w:rPr>
                <w:rFonts w:ascii="Arial" w:eastAsia="Calibri" w:hAnsi="Arial" w:cs="Arial"/>
                <w:b/>
                <w:color w:val="000000"/>
                <w:szCs w:val="24"/>
              </w:rPr>
              <w:t>ë</w:t>
            </w:r>
            <w:r w:rsidRPr="00044F83">
              <w:rPr>
                <w:rFonts w:ascii="Arial" w:eastAsia="Times New Roman" w:hAnsi="Arial" w:cs="Arial"/>
                <w:b/>
                <w:szCs w:val="24"/>
              </w:rPr>
              <w:t xml:space="preserve"> e kartel</w:t>
            </w:r>
            <w:r w:rsidRPr="00044F83">
              <w:rPr>
                <w:rFonts w:ascii="Arial" w:eastAsia="Calibri" w:hAnsi="Arial" w:cs="Arial"/>
                <w:b/>
                <w:color w:val="000000"/>
                <w:szCs w:val="24"/>
              </w:rPr>
              <w:t>ë</w:t>
            </w:r>
            <w:r w:rsidRPr="00044F83">
              <w:rPr>
                <w:rFonts w:ascii="Arial" w:eastAsia="Times New Roman" w:hAnsi="Arial" w:cs="Arial"/>
                <w:b/>
                <w:szCs w:val="24"/>
              </w:rPr>
              <w:t>s s</w:t>
            </w:r>
            <w:r w:rsidRPr="00044F83">
              <w:rPr>
                <w:rFonts w:ascii="Arial" w:eastAsia="Calibri" w:hAnsi="Arial" w:cs="Arial"/>
                <w:b/>
                <w:color w:val="000000"/>
                <w:szCs w:val="24"/>
              </w:rPr>
              <w:t>ë</w:t>
            </w:r>
            <w:r w:rsidRPr="00044F83">
              <w:rPr>
                <w:rFonts w:ascii="Arial" w:eastAsia="Times New Roman" w:hAnsi="Arial" w:cs="Arial"/>
                <w:b/>
                <w:szCs w:val="24"/>
              </w:rPr>
              <w:t xml:space="preserve"> pacientit </w:t>
            </w:r>
          </w:p>
          <w:p w14:paraId="5111BDB5" w14:textId="77777777" w:rsidR="00044F83" w:rsidRPr="00044F83" w:rsidRDefault="00044F83" w:rsidP="00044F83">
            <w:pPr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Cs w:val="24"/>
              </w:rPr>
            </w:pPr>
          </w:p>
        </w:tc>
      </w:tr>
      <w:tr w:rsidR="00044F83" w:rsidRPr="00044F83" w14:paraId="70B07C36" w14:textId="77777777" w:rsidTr="0065025E">
        <w:trPr>
          <w:trHeight w:val="292"/>
        </w:trPr>
        <w:tc>
          <w:tcPr>
            <w:tcW w:w="8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58372" w14:textId="77777777" w:rsidR="00044F83" w:rsidRPr="00044F83" w:rsidRDefault="00044F83" w:rsidP="00044F83">
            <w:pPr>
              <w:spacing w:after="200" w:line="276" w:lineRule="auto"/>
              <w:rPr>
                <w:rFonts w:ascii="Arial" w:eastAsia="Times New Roman" w:hAnsi="Arial" w:cs="Arial"/>
                <w:b/>
                <w:szCs w:val="24"/>
                <w:lang w:val="nn-NO"/>
              </w:rPr>
            </w:pPr>
            <w:r w:rsidRPr="00044F83">
              <w:rPr>
                <w:rFonts w:ascii="Arial" w:eastAsia="Calibri" w:hAnsi="Arial" w:cs="Arial"/>
                <w:sz w:val="22"/>
                <w:lang w:val="nn-NO"/>
              </w:rPr>
              <w:t>1.Vlerësimi i rrezikut kardio-vaskular</w:t>
            </w:r>
          </w:p>
        </w:tc>
      </w:tr>
      <w:tr w:rsidR="00044F83" w:rsidRPr="00044F83" w14:paraId="5A2F858F" w14:textId="77777777" w:rsidTr="0065025E">
        <w:trPr>
          <w:trHeight w:val="292"/>
        </w:trPr>
        <w:tc>
          <w:tcPr>
            <w:tcW w:w="8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A0E9E" w14:textId="77777777" w:rsidR="00044F83" w:rsidRPr="00044F83" w:rsidRDefault="00044F83" w:rsidP="00044F83">
            <w:pPr>
              <w:spacing w:after="200" w:line="276" w:lineRule="auto"/>
              <w:rPr>
                <w:rFonts w:ascii="Arial" w:eastAsia="Calibri" w:hAnsi="Arial" w:cs="Arial"/>
                <w:color w:val="000000"/>
                <w:szCs w:val="24"/>
                <w:lang w:val="nn-NO"/>
              </w:rPr>
            </w:pPr>
            <w:r w:rsidRPr="00044F83">
              <w:rPr>
                <w:rFonts w:ascii="Arial" w:eastAsia="Calibri" w:hAnsi="Arial" w:cs="Arial"/>
                <w:color w:val="000000"/>
                <w:szCs w:val="24"/>
                <w:lang w:val="nn-NO"/>
              </w:rPr>
              <w:t xml:space="preserve">2. Ditari i matjes së TA në shtëpi </w:t>
            </w:r>
          </w:p>
        </w:tc>
      </w:tr>
      <w:tr w:rsidR="00044F83" w:rsidRPr="00044F83" w14:paraId="2EE55552" w14:textId="77777777" w:rsidTr="0065025E">
        <w:trPr>
          <w:trHeight w:val="292"/>
        </w:trPr>
        <w:tc>
          <w:tcPr>
            <w:tcW w:w="8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3A7B2" w14:textId="77777777" w:rsidR="00044F83" w:rsidRPr="00044F83" w:rsidRDefault="00044F83" w:rsidP="00044F83">
            <w:pPr>
              <w:spacing w:after="200" w:line="276" w:lineRule="auto"/>
              <w:rPr>
                <w:rFonts w:ascii="Arial" w:eastAsia="Calibri" w:hAnsi="Arial" w:cs="Arial"/>
                <w:color w:val="000000"/>
                <w:szCs w:val="24"/>
                <w:lang w:val="nn-NO"/>
              </w:rPr>
            </w:pPr>
            <w:r w:rsidRPr="00044F83">
              <w:rPr>
                <w:rFonts w:ascii="Arial" w:eastAsia="Calibri" w:hAnsi="Arial" w:cs="Arial"/>
                <w:color w:val="000000"/>
                <w:szCs w:val="24"/>
                <w:lang w:val="nn-NO"/>
              </w:rPr>
              <w:t xml:space="preserve">3. Pyetësori “Gjej riskun për diabet» </w:t>
            </w:r>
          </w:p>
        </w:tc>
      </w:tr>
      <w:tr w:rsidR="00044F83" w:rsidRPr="00044F83" w14:paraId="39103FC4" w14:textId="77777777" w:rsidTr="0065025E">
        <w:trPr>
          <w:trHeight w:val="292"/>
        </w:trPr>
        <w:tc>
          <w:tcPr>
            <w:tcW w:w="8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6F5CB" w14:textId="77777777" w:rsidR="00044F83" w:rsidRPr="00044F83" w:rsidRDefault="00044F83" w:rsidP="00044F83">
            <w:pPr>
              <w:spacing w:after="200" w:line="276" w:lineRule="auto"/>
              <w:rPr>
                <w:rFonts w:ascii="Arial" w:eastAsia="Calibri" w:hAnsi="Arial" w:cs="Arial"/>
                <w:color w:val="000000"/>
                <w:szCs w:val="24"/>
                <w:lang w:val="nn-NO"/>
              </w:rPr>
            </w:pPr>
            <w:r w:rsidRPr="00044F83">
              <w:rPr>
                <w:rFonts w:ascii="Arial" w:eastAsia="Calibri" w:hAnsi="Arial" w:cs="Arial"/>
                <w:color w:val="000000"/>
                <w:szCs w:val="24"/>
                <w:lang w:val="nn-NO"/>
              </w:rPr>
              <w:t xml:space="preserve">4. Protokolli i ndjekjes në vijimësi për pacientet me diabet </w:t>
            </w:r>
          </w:p>
        </w:tc>
      </w:tr>
      <w:tr w:rsidR="00044F83" w:rsidRPr="00044F83" w14:paraId="0C9B129A" w14:textId="77777777" w:rsidTr="0065025E">
        <w:trPr>
          <w:trHeight w:val="292"/>
        </w:trPr>
        <w:tc>
          <w:tcPr>
            <w:tcW w:w="8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B25EF" w14:textId="77777777" w:rsidR="00044F83" w:rsidRPr="00044F83" w:rsidRDefault="00044F83" w:rsidP="00044F83">
            <w:pPr>
              <w:spacing w:after="200" w:line="276" w:lineRule="auto"/>
              <w:rPr>
                <w:rFonts w:ascii="Arial" w:eastAsia="Calibri" w:hAnsi="Arial" w:cs="Arial"/>
                <w:color w:val="000000"/>
                <w:szCs w:val="24"/>
                <w:lang w:val="nn-NO"/>
              </w:rPr>
            </w:pPr>
            <w:r w:rsidRPr="00044F83">
              <w:rPr>
                <w:rFonts w:ascii="Arial" w:eastAsia="Calibri" w:hAnsi="Arial" w:cs="Arial"/>
                <w:color w:val="000000"/>
                <w:szCs w:val="24"/>
                <w:lang w:val="nn-NO"/>
              </w:rPr>
              <w:t xml:space="preserve">5. Plan i individualizuar i ndjekjes për Astmën </w:t>
            </w:r>
          </w:p>
        </w:tc>
      </w:tr>
      <w:tr w:rsidR="00044F83" w:rsidRPr="00044F83" w14:paraId="1597BA95" w14:textId="77777777" w:rsidTr="0065025E">
        <w:trPr>
          <w:trHeight w:val="292"/>
        </w:trPr>
        <w:tc>
          <w:tcPr>
            <w:tcW w:w="8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54A14" w14:textId="77777777" w:rsidR="00044F83" w:rsidRPr="00044F83" w:rsidRDefault="00044F83" w:rsidP="00044F83">
            <w:pPr>
              <w:spacing w:after="200" w:line="276" w:lineRule="auto"/>
              <w:rPr>
                <w:rFonts w:ascii="Arial" w:eastAsia="Calibri" w:hAnsi="Arial" w:cs="Arial"/>
                <w:color w:val="000000"/>
                <w:szCs w:val="24"/>
                <w:lang w:val="nn-NO"/>
              </w:rPr>
            </w:pPr>
            <w:r w:rsidRPr="00044F83">
              <w:rPr>
                <w:rFonts w:ascii="Arial" w:eastAsia="Calibri" w:hAnsi="Arial" w:cs="Arial"/>
                <w:color w:val="000000"/>
                <w:szCs w:val="24"/>
                <w:lang w:val="nn-NO"/>
              </w:rPr>
              <w:t xml:space="preserve">6. Pyetësori për të identifikuar shkaktarët e astmës </w:t>
            </w:r>
          </w:p>
        </w:tc>
      </w:tr>
      <w:tr w:rsidR="00044F83" w:rsidRPr="00044F83" w14:paraId="6B517ED6" w14:textId="77777777" w:rsidTr="0065025E">
        <w:trPr>
          <w:trHeight w:val="292"/>
        </w:trPr>
        <w:tc>
          <w:tcPr>
            <w:tcW w:w="8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DAD62" w14:textId="77777777" w:rsidR="00044F83" w:rsidRPr="00044F83" w:rsidRDefault="00044F83" w:rsidP="00044F83">
            <w:pPr>
              <w:spacing w:after="200" w:line="276" w:lineRule="auto"/>
              <w:rPr>
                <w:rFonts w:ascii="Arial" w:eastAsia="Calibri" w:hAnsi="Arial" w:cs="Arial"/>
                <w:color w:val="000000"/>
                <w:szCs w:val="24"/>
                <w:lang w:val="nn-NO"/>
              </w:rPr>
            </w:pPr>
            <w:r w:rsidRPr="00044F83">
              <w:rPr>
                <w:rFonts w:ascii="Arial" w:eastAsia="Calibri" w:hAnsi="Arial" w:cs="Arial"/>
                <w:color w:val="000000"/>
                <w:szCs w:val="24"/>
                <w:lang w:val="nn-NO"/>
              </w:rPr>
              <w:t xml:space="preserve">7. Pyetësori i kontrollit të astmës për të rritur </w:t>
            </w:r>
          </w:p>
        </w:tc>
      </w:tr>
      <w:tr w:rsidR="00044F83" w:rsidRPr="00044F83" w14:paraId="17FBC8FA" w14:textId="77777777" w:rsidTr="0065025E">
        <w:trPr>
          <w:trHeight w:val="292"/>
        </w:trPr>
        <w:tc>
          <w:tcPr>
            <w:tcW w:w="8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BC9DC" w14:textId="77777777" w:rsidR="00044F83" w:rsidRPr="00044F83" w:rsidRDefault="00044F83" w:rsidP="00044F83">
            <w:pPr>
              <w:spacing w:after="200" w:line="276" w:lineRule="auto"/>
              <w:rPr>
                <w:rFonts w:ascii="Arial" w:eastAsia="Calibri" w:hAnsi="Arial" w:cs="Arial"/>
                <w:color w:val="000000"/>
                <w:szCs w:val="24"/>
                <w:lang w:val="nn-NO"/>
              </w:rPr>
            </w:pPr>
            <w:r w:rsidRPr="00044F83">
              <w:rPr>
                <w:rFonts w:ascii="Arial" w:eastAsia="Calibri" w:hAnsi="Arial" w:cs="Arial"/>
                <w:color w:val="000000"/>
                <w:szCs w:val="24"/>
                <w:lang w:val="nn-NO"/>
              </w:rPr>
              <w:t xml:space="preserve">8. Pyetësori i kontrollit të astmës për femije </w:t>
            </w:r>
          </w:p>
        </w:tc>
      </w:tr>
      <w:tr w:rsidR="00044F83" w:rsidRPr="00044F83" w14:paraId="5FFF0718" w14:textId="77777777" w:rsidTr="0065025E">
        <w:trPr>
          <w:trHeight w:val="292"/>
        </w:trPr>
        <w:tc>
          <w:tcPr>
            <w:tcW w:w="8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9E04F" w14:textId="77777777" w:rsidR="00044F83" w:rsidRPr="00044F83" w:rsidRDefault="00044F83" w:rsidP="00044F83">
            <w:pPr>
              <w:spacing w:after="200" w:line="276" w:lineRule="auto"/>
              <w:rPr>
                <w:rFonts w:ascii="Arial" w:eastAsia="Calibri" w:hAnsi="Arial" w:cs="Arial"/>
                <w:color w:val="000000"/>
                <w:szCs w:val="24"/>
                <w:lang w:val="nn-NO"/>
              </w:rPr>
            </w:pPr>
            <w:r w:rsidRPr="00044F83">
              <w:rPr>
                <w:rFonts w:ascii="Arial" w:eastAsia="Calibri" w:hAnsi="Arial" w:cs="Arial"/>
                <w:color w:val="000000"/>
                <w:szCs w:val="24"/>
                <w:lang w:val="nn-NO"/>
              </w:rPr>
              <w:t xml:space="preserve">9. Pyetësori i depistimit për SPOK </w:t>
            </w:r>
          </w:p>
        </w:tc>
      </w:tr>
      <w:tr w:rsidR="00044F83" w:rsidRPr="00044F83" w14:paraId="469C4D00" w14:textId="77777777" w:rsidTr="0065025E">
        <w:trPr>
          <w:trHeight w:val="292"/>
        </w:trPr>
        <w:tc>
          <w:tcPr>
            <w:tcW w:w="8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02019" w14:textId="77777777" w:rsidR="00044F83" w:rsidRPr="00044F83" w:rsidRDefault="00044F83" w:rsidP="00044F83">
            <w:pPr>
              <w:spacing w:after="200" w:line="276" w:lineRule="auto"/>
              <w:rPr>
                <w:rFonts w:ascii="Arial" w:eastAsia="Calibri" w:hAnsi="Arial" w:cs="Arial"/>
                <w:color w:val="000000"/>
                <w:szCs w:val="24"/>
                <w:lang w:val="nn-NO"/>
              </w:rPr>
            </w:pPr>
            <w:r w:rsidRPr="00044F83">
              <w:rPr>
                <w:rFonts w:ascii="Arial" w:eastAsia="Calibri" w:hAnsi="Arial" w:cs="Arial"/>
                <w:color w:val="000000"/>
                <w:szCs w:val="24"/>
                <w:lang w:val="nn-NO"/>
              </w:rPr>
              <w:t>10. Plan i individualizuar i ndjekjes për SPOK</w:t>
            </w:r>
          </w:p>
        </w:tc>
      </w:tr>
      <w:tr w:rsidR="00044F83" w:rsidRPr="00044F83" w14:paraId="224E54DF" w14:textId="77777777" w:rsidTr="0065025E">
        <w:trPr>
          <w:trHeight w:val="292"/>
        </w:trPr>
        <w:tc>
          <w:tcPr>
            <w:tcW w:w="8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2E4BE" w14:textId="77777777" w:rsidR="00044F83" w:rsidRPr="00044F83" w:rsidRDefault="00044F83" w:rsidP="00044F83">
            <w:pPr>
              <w:spacing w:after="200" w:line="276" w:lineRule="auto"/>
              <w:rPr>
                <w:rFonts w:ascii="Arial" w:eastAsia="Calibri" w:hAnsi="Arial" w:cs="Arial"/>
                <w:color w:val="000000"/>
                <w:szCs w:val="24"/>
                <w:lang w:val="nn-NO"/>
              </w:rPr>
            </w:pPr>
            <w:r w:rsidRPr="00044F83">
              <w:rPr>
                <w:rFonts w:ascii="Arial" w:eastAsia="Calibri" w:hAnsi="Arial" w:cs="Arial"/>
                <w:color w:val="000000"/>
                <w:szCs w:val="24"/>
                <w:lang w:val="nn-NO"/>
              </w:rPr>
              <w:t>11. Pyetësori i vlerësimit për SPOK</w:t>
            </w:r>
          </w:p>
        </w:tc>
      </w:tr>
      <w:tr w:rsidR="00044F83" w:rsidRPr="00044F83" w14:paraId="44AA1222" w14:textId="77777777" w:rsidTr="0065025E">
        <w:trPr>
          <w:trHeight w:val="292"/>
        </w:trPr>
        <w:tc>
          <w:tcPr>
            <w:tcW w:w="8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AAEA1" w14:textId="77777777" w:rsidR="00044F83" w:rsidRPr="00044F83" w:rsidRDefault="00044F83" w:rsidP="00044F83">
            <w:pPr>
              <w:spacing w:after="200" w:line="276" w:lineRule="auto"/>
              <w:rPr>
                <w:rFonts w:ascii="Arial" w:eastAsia="Calibri" w:hAnsi="Arial" w:cs="Arial"/>
                <w:color w:val="000000"/>
                <w:szCs w:val="24"/>
              </w:rPr>
            </w:pPr>
            <w:r w:rsidRPr="00044F83">
              <w:rPr>
                <w:rFonts w:ascii="Arial" w:eastAsia="Calibri" w:hAnsi="Arial" w:cs="Arial"/>
                <w:color w:val="000000"/>
                <w:szCs w:val="24"/>
              </w:rPr>
              <w:t>12. Programi i Edukimit të pacientit me SPOK</w:t>
            </w:r>
          </w:p>
        </w:tc>
      </w:tr>
    </w:tbl>
    <w:p w14:paraId="4B866C4E" w14:textId="77777777" w:rsidR="00044F83" w:rsidRPr="00044F83" w:rsidRDefault="00044F83" w:rsidP="00044F8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20"/>
        <w:rPr>
          <w:rFonts w:ascii="Arial" w:eastAsia="Times New Roman" w:hAnsi="Arial" w:cs="Arial"/>
          <w:b/>
          <w:bCs/>
          <w:color w:val="FF0000"/>
          <w:szCs w:val="24"/>
        </w:rPr>
      </w:pPr>
    </w:p>
    <w:p w14:paraId="3F6687DA" w14:textId="77777777" w:rsidR="00D30611" w:rsidRDefault="00D30611"/>
    <w:sectPr w:rsidR="00D30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KxMDE1MzU3MTI2NzJQ0lEKTi0uzszPAykwrAUAa1BOLCwAAAA="/>
  </w:docVars>
  <w:rsids>
    <w:rsidRoot w:val="00234B86"/>
    <w:rsid w:val="00044F83"/>
    <w:rsid w:val="00234B86"/>
    <w:rsid w:val="00290486"/>
    <w:rsid w:val="003478FA"/>
    <w:rsid w:val="004E6ED0"/>
    <w:rsid w:val="006D5621"/>
    <w:rsid w:val="00882533"/>
    <w:rsid w:val="00D3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23DCC4"/>
  <w15:chartTrackingRefBased/>
  <w15:docId w15:val="{589A63E3-FAEC-49E5-81A6-1D99829F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ED0"/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E6ED0"/>
    <w:pPr>
      <w:keepNext/>
      <w:keepLines/>
      <w:spacing w:before="240" w:after="0"/>
      <w:outlineLvl w:val="0"/>
    </w:pPr>
    <w:rPr>
      <w:rFonts w:ascii="Helvetica" w:eastAsiaTheme="majorEastAsia" w:hAnsi="Helvetica" w:cstheme="majorBidi"/>
      <w:b/>
      <w:color w:val="2F5496" w:themeColor="accent1" w:themeShade="BF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E6ED0"/>
    <w:pPr>
      <w:keepNext/>
      <w:keepLines/>
      <w:spacing w:before="40" w:after="0"/>
      <w:outlineLvl w:val="1"/>
    </w:pPr>
    <w:rPr>
      <w:rFonts w:ascii="Helvetica" w:eastAsiaTheme="majorEastAsia" w:hAnsi="Helvetica" w:cstheme="majorBidi"/>
      <w:color w:val="2F5496" w:themeColor="accent1" w:themeShade="BF"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E6ED0"/>
    <w:pPr>
      <w:keepNext/>
      <w:keepLines/>
      <w:spacing w:before="40" w:after="0"/>
      <w:outlineLvl w:val="2"/>
    </w:pPr>
    <w:rPr>
      <w:rFonts w:ascii="Helvetica" w:eastAsiaTheme="majorEastAsia" w:hAnsi="Helvetica" w:cstheme="majorBidi"/>
      <w:color w:val="1F3763" w:themeColor="accent1" w:themeShade="7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ED0"/>
    <w:rPr>
      <w:rFonts w:ascii="Helvetica" w:eastAsiaTheme="majorEastAsia" w:hAnsi="Helvetica" w:cstheme="majorBidi"/>
      <w:b/>
      <w:color w:val="2F5496" w:themeColor="accent1" w:themeShade="BF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6ED0"/>
    <w:rPr>
      <w:rFonts w:ascii="Helvetica" w:eastAsiaTheme="majorEastAsia" w:hAnsi="Helvetica" w:cstheme="majorBidi"/>
      <w:color w:val="2F5496" w:themeColor="accent1" w:themeShade="BF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6ED0"/>
    <w:rPr>
      <w:rFonts w:ascii="Helvetica" w:eastAsiaTheme="majorEastAsia" w:hAnsi="Helvetica" w:cstheme="majorBidi"/>
      <w:color w:val="1F3763" w:themeColor="accent1" w:themeShade="7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706</Characters>
  <Application>Microsoft Office Word</Application>
  <DocSecurity>0</DocSecurity>
  <Lines>20</Lines>
  <Paragraphs>14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Edlira KETA</dc:creator>
  <cp:keywords/>
  <dc:description/>
  <cp:lastModifiedBy>Edlira KETA</cp:lastModifiedBy>
  <cp:revision>2</cp:revision>
  <dcterms:created xsi:type="dcterms:W3CDTF">2024-02-15T15:32:00Z</dcterms:created>
  <dcterms:modified xsi:type="dcterms:W3CDTF">2024-02-15T15:32:00Z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9f37999b-be7c-4272-8b3a-2bc96077c4ad</vt:lpwstr>
  </property>
</Properties>
</file>