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00A4C0"/>
          <w:spacing w:val="-15"/>
        </w:rPr>
        <w:t xml:space="preserve">ANEKS </w:t>
      </w:r>
      <w:r>
        <w:rPr>
          <w:color w:val="00A4C0"/>
        </w:rPr>
        <w:t>9</w:t>
      </w:r>
    </w:p>
    <w:p>
      <w:pPr>
        <w:pStyle w:val="Heading3"/>
      </w:pPr>
      <w:r>
        <w:rPr>
          <w:color w:val="00A4C0"/>
        </w:rPr>
        <w:t>Shembull i plotësuar i axhendës së takimit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pStyle w:val="Heading4"/>
        <w:spacing w:before="100"/>
        <w:ind w:left="2038" w:right="2038"/>
        <w:jc w:val="center"/>
      </w:pPr>
      <w:r>
        <w:rPr>
          <w:color w:val="231F1F"/>
        </w:rPr>
        <w:t>Takimi I</w:t>
      </w:r>
    </w:p>
    <w:p>
      <w:pPr>
        <w:spacing w:before="259" w:line="288" w:lineRule="exact"/>
        <w:ind w:left="2028" w:right="2034" w:firstLine="7"/>
        <w:jc w:val="center"/>
        <w:rPr>
          <w:b/>
          <w:sz w:val="24"/>
        </w:rPr>
      </w:pPr>
      <w:r>
        <w:rPr>
          <w:b/>
          <w:color w:val="231F1F"/>
          <w:sz w:val="24"/>
        </w:rPr>
        <w:t xml:space="preserve">Grupi i </w:t>
      </w:r>
      <w:r>
        <w:rPr>
          <w:b/>
          <w:color w:val="231F1F"/>
          <w:spacing w:val="-3"/>
          <w:sz w:val="24"/>
        </w:rPr>
        <w:t xml:space="preserve">Kolegëve </w:t>
      </w:r>
      <w:r>
        <w:rPr>
          <w:b/>
          <w:color w:val="231F1F"/>
          <w:sz w:val="24"/>
        </w:rPr>
        <w:t xml:space="preserve">me Infermiere të </w:t>
      </w:r>
      <w:r>
        <w:rPr>
          <w:b/>
          <w:color w:val="231F1F"/>
          <w:spacing w:val="-3"/>
          <w:sz w:val="24"/>
        </w:rPr>
        <w:t xml:space="preserve">Konsultorit </w:t>
      </w:r>
      <w:r>
        <w:rPr>
          <w:b/>
          <w:color w:val="231F1F"/>
          <w:sz w:val="24"/>
        </w:rPr>
        <w:t xml:space="preserve">të Gruas të Qendrës Shëndetësore </w:t>
      </w:r>
      <w:r>
        <w:rPr>
          <w:b/>
          <w:color w:val="231F1F"/>
          <w:spacing w:val="-6"/>
          <w:sz w:val="24"/>
        </w:rPr>
        <w:t xml:space="preserve">Nr.14, </w:t>
      </w:r>
      <w:r>
        <w:rPr>
          <w:b/>
          <w:color w:val="231F1F"/>
          <w:sz w:val="24"/>
        </w:rPr>
        <w:t xml:space="preserve">lidhur me </w:t>
      </w:r>
      <w:r>
        <w:rPr>
          <w:b/>
          <w:color w:val="231F1F"/>
          <w:spacing w:val="-3"/>
          <w:sz w:val="24"/>
        </w:rPr>
        <w:t xml:space="preserve">“Kujdesin </w:t>
      </w:r>
      <w:r>
        <w:rPr>
          <w:b/>
          <w:color w:val="231F1F"/>
          <w:sz w:val="24"/>
        </w:rPr>
        <w:t xml:space="preserve">infermjeror për gruan shtatzënë bazuar në protokollin e praktikës </w:t>
      </w:r>
      <w:r>
        <w:rPr>
          <w:b/>
          <w:color w:val="231F1F"/>
          <w:spacing w:val="2"/>
          <w:sz w:val="24"/>
        </w:rPr>
        <w:t xml:space="preserve">klinike </w:t>
      </w:r>
      <w:r>
        <w:rPr>
          <w:b/>
          <w:color w:val="231F1F"/>
          <w:sz w:val="24"/>
        </w:rPr>
        <w:t xml:space="preserve">të </w:t>
      </w:r>
      <w:r>
        <w:rPr>
          <w:b/>
          <w:color w:val="231F1F"/>
          <w:spacing w:val="-3"/>
          <w:sz w:val="24"/>
        </w:rPr>
        <w:t xml:space="preserve">kujdesit </w:t>
      </w:r>
      <w:r>
        <w:rPr>
          <w:b/>
          <w:color w:val="231F1F"/>
          <w:sz w:val="24"/>
        </w:rPr>
        <w:t xml:space="preserve">antenatal në kujdesin shëndetësor </w:t>
      </w:r>
      <w:r>
        <w:rPr>
          <w:b/>
          <w:color w:val="231F1F"/>
          <w:spacing w:val="-3"/>
          <w:sz w:val="24"/>
        </w:rPr>
        <w:t>parësor”.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88" w:lineRule="exact"/>
        <w:ind w:left="1837" w:right="1817"/>
      </w:pPr>
      <w:r>
        <w:rPr>
          <w:b/>
          <w:color w:val="231F1F"/>
        </w:rPr>
        <w:t xml:space="preserve">Tema: </w:t>
      </w:r>
      <w:r>
        <w:rPr>
          <w:color w:val="231F1F"/>
        </w:rPr>
        <w:t>Diskutim lidhur me praktikën e përditëshme të anëtarëve të grupit në ndjekjen e gruas shtatzënë gjatë tre mujorit të parë të shtatzënisë</w:t>
      </w:r>
    </w:p>
    <w:p>
      <w:pPr>
        <w:pStyle w:val="BodyText"/>
        <w:spacing w:before="7"/>
        <w:rPr>
          <w:sz w:val="41"/>
        </w:rPr>
      </w:pPr>
    </w:p>
    <w:p>
      <w:pPr>
        <w:pStyle w:val="Heading4"/>
        <w:spacing w:line="314" w:lineRule="exact"/>
        <w:ind w:left="1837"/>
      </w:pPr>
      <w:r>
        <w:rPr>
          <w:color w:val="231F1F"/>
        </w:rPr>
        <w:t>Qëllimi:</w:t>
      </w:r>
    </w:p>
    <w:p>
      <w:pPr>
        <w:pStyle w:val="BodyText"/>
        <w:spacing w:before="8" w:line="213" w:lineRule="auto"/>
        <w:ind w:left="1837" w:right="1827"/>
      </w:pPr>
      <w:r>
        <w:rPr>
          <w:color w:val="231F1F"/>
        </w:rPr>
        <w:t>Evidentimi, nëpërmjet diskutimit nga anëtaret e grupit, të praktikave të përditshme të ndjekjes së gruas shtatzënë gjatë tre mujorit të parë të shtatzënisë në konsultorin e gruas të QSH</w:t>
      </w:r>
    </w:p>
    <w:p>
      <w:pPr>
        <w:pStyle w:val="BodyText"/>
        <w:tabs>
          <w:tab w:val="left" w:pos="3268"/>
        </w:tabs>
        <w:spacing w:line="298" w:lineRule="exact"/>
        <w:ind w:left="183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75326</wp:posOffset>
            </wp:positionV>
            <wp:extent cx="155575" cy="155575"/>
            <wp:effectExtent l="0" t="0" r="0" b="0"/>
            <wp:wrapNone/>
            <wp:docPr id="16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75326</wp:posOffset>
            </wp:positionV>
            <wp:extent cx="155575" cy="155575"/>
            <wp:effectExtent l="0" t="0" r="0" b="0"/>
            <wp:wrapNone/>
            <wp:docPr id="17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u w:val="single" w:color="221E1E"/>
        </w:rPr>
        <w:t xml:space="preserve"> </w:t>
        <w:tab/>
      </w:r>
      <w:r>
        <w:rPr>
          <w:color w:val="231F1F"/>
        </w:rPr>
        <w:t>.</w:t>
      </w:r>
    </w:p>
    <w:p>
      <w:pPr>
        <w:pStyle w:val="BodyText"/>
        <w:spacing w:before="5"/>
        <w:rPr>
          <w:sz w:val="39"/>
        </w:rPr>
      </w:pPr>
    </w:p>
    <w:p>
      <w:pPr>
        <w:spacing w:before="0"/>
        <w:ind w:left="1837" w:right="0" w:firstLine="0"/>
        <w:jc w:val="left"/>
        <w:rPr>
          <w:sz w:val="24"/>
        </w:rPr>
      </w:pPr>
      <w:r>
        <w:rPr>
          <w:b/>
          <w:color w:val="231F1F"/>
          <w:sz w:val="24"/>
        </w:rPr>
        <w:t xml:space="preserve">Data: </w:t>
      </w:r>
      <w:r>
        <w:rPr>
          <w:color w:val="231F1F"/>
          <w:sz w:val="24"/>
        </w:rPr>
        <w:t>14.06.2018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1837"/>
      </w:pPr>
      <w:r>
        <w:rPr>
          <w:b/>
          <w:color w:val="231F1F"/>
        </w:rPr>
        <w:t>Ora</w:t>
      </w:r>
      <w:r>
        <w:rPr>
          <w:color w:val="231F1F"/>
        </w:rPr>
        <w:t>: 12:30-14:30</w:t>
      </w:r>
    </w:p>
    <w:p>
      <w:pPr>
        <w:pStyle w:val="BodyText"/>
        <w:spacing w:before="5"/>
        <w:rPr>
          <w:sz w:val="39"/>
        </w:rPr>
      </w:pPr>
    </w:p>
    <w:p>
      <w:pPr>
        <w:tabs>
          <w:tab w:val="left" w:pos="6965"/>
        </w:tabs>
        <w:spacing w:before="0"/>
        <w:ind w:left="1837" w:right="0" w:firstLine="0"/>
        <w:jc w:val="left"/>
        <w:rPr>
          <w:sz w:val="24"/>
        </w:rPr>
      </w:pPr>
      <w:r>
        <w:rPr>
          <w:b/>
          <w:color w:val="231F1F"/>
          <w:spacing w:val="-5"/>
          <w:sz w:val="24"/>
        </w:rPr>
        <w:t xml:space="preserve">Vendi </w:t>
      </w:r>
      <w:r>
        <w:rPr>
          <w:b/>
          <w:color w:val="231F1F"/>
          <w:sz w:val="24"/>
        </w:rPr>
        <w:t>i takimit</w:t>
      </w:r>
      <w:r>
        <w:rPr>
          <w:color w:val="231F1F"/>
          <w:sz w:val="24"/>
        </w:rPr>
        <w:t>: Konsultori i Gruas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 xml:space="preserve">Q.Sh </w:t>
      </w:r>
      <w:r>
        <w:rPr>
          <w:color w:val="231F1F"/>
          <w:sz w:val="24"/>
          <w:u w:val="single" w:color="221E1E"/>
        </w:rPr>
        <w:t xml:space="preserve"> </w:t>
        <w:tab/>
      </w:r>
    </w:p>
    <w:p>
      <w:pPr>
        <w:pStyle w:val="BodyText"/>
        <w:rPr>
          <w:sz w:val="20"/>
        </w:rPr>
      </w:pPr>
    </w:p>
    <w:p>
      <w:pPr>
        <w:pStyle w:val="Heading4"/>
        <w:spacing w:before="262" w:line="314" w:lineRule="exact"/>
        <w:ind w:left="1837"/>
      </w:pPr>
      <w:r>
        <w:rPr>
          <w:color w:val="231F1F"/>
        </w:rPr>
        <w:t>Facilitatore/Organizatore:</w:t>
      </w:r>
    </w:p>
    <w:p>
      <w:pPr>
        <w:pStyle w:val="BodyText"/>
        <w:spacing w:before="8" w:line="213" w:lineRule="auto"/>
        <w:ind w:left="1837" w:right="9571"/>
      </w:pPr>
      <w:r>
        <w:rPr>
          <w:color w:val="231F1F"/>
        </w:rPr>
        <w:t>Linda Luli Miranda Caci</w:t>
      </w:r>
    </w:p>
    <w:p>
      <w:pPr>
        <w:pStyle w:val="Heading4"/>
        <w:spacing w:before="261" w:line="305" w:lineRule="exact"/>
        <w:ind w:left="1850"/>
      </w:pPr>
      <w:r>
        <w:rPr>
          <w:color w:val="231F1F"/>
        </w:rPr>
        <w:t>Materialet e punës:</w:t>
      </w:r>
    </w:p>
    <w:p>
      <w:pPr>
        <w:pStyle w:val="BodyText"/>
        <w:spacing w:line="317" w:lineRule="exact"/>
        <w:ind w:left="1837"/>
      </w:pPr>
      <w:r>
        <w:rPr>
          <w:color w:val="231F1F"/>
          <w:position w:val="2"/>
        </w:rPr>
        <w:t xml:space="preserve">Protokolli i praktikës </w:t>
      </w:r>
      <w:r>
        <w:rPr>
          <w:color w:val="231F1F"/>
        </w:rPr>
        <w:t>klinike të kujdesit antenatal në kujdesin shëndetësor parësor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4"/>
        <w:spacing w:before="105"/>
        <w:ind w:right="769"/>
        <w:jc w:val="right"/>
        <w:rPr>
          <w:rFonts w:ascii="Calibri"/>
        </w:rPr>
      </w:pPr>
      <w:r>
        <w:rPr>
          <w:rFonts w:ascii="Calibri"/>
          <w:color w:val="383D49"/>
          <w:w w:val="105"/>
        </w:rPr>
        <w:t>43</w:t>
      </w:r>
    </w:p>
    <w:p>
      <w:pPr>
        <w:spacing w:after="0"/>
        <w:jc w:val="right"/>
        <w:rPr>
          <w:rFonts w:ascii="Calibri"/>
        </w:rPr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6668" w:right="0" w:firstLine="0"/>
        <w:jc w:val="left"/>
        <w:rPr>
          <w:sz w:val="16"/>
        </w:rPr>
      </w:pPr>
      <w:r>
        <w:pict>
          <v:line id="_x0000_s1026" style="mso-position-horizontal-relative:page;mso-wrap-distance-left:0;mso-wrap-distance-right:0;position:absolute;z-index:251662336" from="295.7pt,18.6pt" to="545.4pt,18.6pt" stroked="t" strokecolor="#f7941d" strokeweight="0.5pt">
            <v:stroke dashstyle="solid"/>
            <w10:wrap type="topAndBottom"/>
          </v:lin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4749825</wp:posOffset>
            </wp:positionV>
            <wp:extent cx="154019" cy="154019"/>
            <wp:effectExtent l="0" t="0" r="0" b="0"/>
            <wp:wrapTopAndBottom/>
            <wp:docPr id="17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3.8pt;height:538.55pt;margin-top:30.3pt;margin-left:91.87pt;mso-position-horizontal-relative:page;mso-wrap-distance-left:0;mso-wrap-distance-right:0;position:absolute;z-index:251661312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0"/>
                    <w:gridCol w:w="1500"/>
                    <w:gridCol w:w="6061"/>
                  </w:tblGrid>
                  <w:tr>
                    <w:tblPrEx>
                      <w:tblW w:w="0" w:type="auto"/>
                      <w:jc w:val="lef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983"/>
                      <w:jc w:val="left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207" w:line="288" w:lineRule="exact"/>
                          <w:ind w:left="140" w:right="114" w:firstLine="42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Ora Kohëzgjatja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41" w:right="24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Aktiviteti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63" w:line="288" w:lineRule="exact"/>
                          <w:ind w:left="137" w:right="139" w:hanging="1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Diskutim: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praktika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përditëshme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anëtarëve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Grupit në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ndjekjen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gruas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shtatzënë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gjatë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tremujorit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parë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24"/>
                          </w:rPr>
                          <w:t>të shtatzënisë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265"/>
                      <w:jc w:val="left"/>
                    </w:trPr>
                    <w:tc>
                      <w:tcPr>
                        <w:tcW w:w="1500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1" w:right="23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30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-12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41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Hyrja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0" w:line="30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Përshëndetja,</w:t>
                        </w:r>
                      </w:p>
                      <w:p>
                        <w:pPr>
                          <w:pStyle w:val="TableParagraph"/>
                          <w:spacing w:before="8" w:line="213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Prezantimi i objektivit dhe qëllimeve të ciklit të takimeve të Grupit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Prezantimi i qëllimit, objektivave dhe axhendës së takimit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857"/>
                      <w:jc w:val="left"/>
                    </w:trPr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41" w:right="23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40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-13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exact"/>
                          <w:ind w:left="51" w:right="49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Prezantimi i </w:t>
                        </w:r>
                        <w:r>
                          <w:rPr>
                            <w:color w:val="221F1F"/>
                            <w:spacing w:val="-2"/>
                            <w:sz w:val="24"/>
                          </w:rPr>
                          <w:t xml:space="preserve">eksperiencave: </w:t>
                        </w:r>
                        <w:r>
                          <w:rPr>
                            <w:color w:val="221F1F"/>
                            <w:spacing w:val="2"/>
                            <w:sz w:val="24"/>
                          </w:rPr>
                          <w:t xml:space="preserve">praktika </w:t>
                        </w:r>
                        <w:r>
                          <w:rPr>
                            <w:color w:val="221F1F"/>
                            <w:sz w:val="24"/>
                          </w:rPr>
                          <w:t xml:space="preserve">e përditshme në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>ndjekjen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294" w:right="29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e gruas </w:t>
                        </w:r>
                        <w:r>
                          <w:rPr>
                            <w:color w:val="221F1F"/>
                            <w:spacing w:val="-1"/>
                            <w:sz w:val="24"/>
                          </w:rPr>
                          <w:t xml:space="preserve">shtatzënë </w:t>
                        </w:r>
                        <w:r>
                          <w:rPr>
                            <w:color w:val="221F1F"/>
                            <w:sz w:val="24"/>
                          </w:rPr>
                          <w:t>gjatë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241" w:right="2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3-mujorit të parë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2" w:line="288" w:lineRule="exact"/>
                          <w:ind w:left="108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Çdo anëtar Grupi  prezanton  eksperiencën  e  vet  lidhur  me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ndjekjen </w:t>
                        </w:r>
                        <w:r>
                          <w:rPr>
                            <w:color w:val="221F1F"/>
                            <w:sz w:val="24"/>
                          </w:rPr>
                          <w:t xml:space="preserve">e gruas shtatzënë gjatë tre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mujorit </w:t>
                        </w:r>
                        <w:r>
                          <w:rPr>
                            <w:color w:val="221F1F"/>
                            <w:sz w:val="24"/>
                          </w:rPr>
                          <w:t>të parë të shtazënisë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Facilitatori i fton të gjithë anëtarët e grupit të diskutojnë   dhe i nxit të paraqesin eksperiencën e tyre me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shembuj </w:t>
                        </w:r>
                        <w:r>
                          <w:rPr>
                            <w:color w:val="221F1F"/>
                            <w:sz w:val="24"/>
                          </w:rPr>
                          <w:t xml:space="preserve">të rasteve të ndjekjes së gruas shtatzënë në QSH, në familje dhe në komunitet, si dhe në sjelljen në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vëmendjen </w:t>
                        </w:r>
                        <w:r>
                          <w:rPr>
                            <w:color w:val="221F1F"/>
                            <w:sz w:val="24"/>
                          </w:rPr>
                          <w:t xml:space="preserve">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kolegëve </w:t>
                        </w:r>
                        <w:r>
                          <w:rPr>
                            <w:color w:val="221F1F"/>
                            <w:sz w:val="24"/>
                          </w:rPr>
                          <w:t>të metodave,</w:t>
                        </w:r>
                        <w:r>
                          <w:rPr>
                            <w:color w:val="22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të</w:t>
                        </w:r>
                        <w:r>
                          <w:rPr>
                            <w:color w:val="22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materialeve</w:t>
                        </w:r>
                        <w:r>
                          <w:rPr>
                            <w:color w:val="22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ndihmëse</w:t>
                        </w:r>
                        <w:r>
                          <w:rPr>
                            <w:color w:val="22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që</w:t>
                        </w:r>
                        <w:r>
                          <w:rPr>
                            <w:color w:val="22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përdorin.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08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Facilitatorja i nxit prezantuesit që të paraqesin si 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dokumentojnë ndjekjen </w:t>
                        </w:r>
                        <w:r>
                          <w:rPr>
                            <w:color w:val="221F1F"/>
                            <w:sz w:val="24"/>
                          </w:rPr>
                          <w:t xml:space="preserve">e gruas shtatzëne gjatë tre </w:t>
                        </w:r>
                        <w:r>
                          <w:rPr>
                            <w:color w:val="221F1F"/>
                            <w:spacing w:val="-3"/>
                            <w:sz w:val="24"/>
                          </w:rPr>
                          <w:t xml:space="preserve">mujorit </w:t>
                        </w:r>
                        <w:r>
                          <w:rPr>
                            <w:color w:val="221F1F"/>
                            <w:sz w:val="24"/>
                          </w:rPr>
                          <w:t>të parë.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08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Facilitatori ndjek respektimin e kohës së diskutimit nga çdo anëtar.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2129"/>
                      <w:jc w:val="left"/>
                    </w:trPr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41" w:right="23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20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-14</w:t>
                        </w:r>
                        <w:r>
                          <w:rPr>
                            <w:b/>
                            <w:color w:val="231F20"/>
                            <w:position w:val="8"/>
                            <w:sz w:val="14"/>
                          </w:rPr>
                          <w:t>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spacing w:before="1" w:line="288" w:lineRule="exact"/>
                          <w:ind w:left="241" w:right="2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Komente, pyetje, dikutime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2" w:line="288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Gjatë diskutimeve 2 facilitatoret alternojnë rolet: mbajnë shënime dhe i mbajnë folësit të orjentuar drejt çështjes së takimit.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Facilitatori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mundëson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që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të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gjithë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të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marrin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pjesë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me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pyetje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e 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komente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kundrejt eksperiencës së 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kolegëve. </w:t>
                        </w:r>
                        <w:r>
                          <w:rPr>
                            <w:color w:val="231F20"/>
                            <w:sz w:val="24"/>
                          </w:rPr>
                          <w:t>Nxit pyetjet dhe diskutimet dhe mban shënime për gjërat më të rëndësishme për përmbledhjen në fund të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takimit.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977"/>
                      <w:jc w:val="left"/>
                    </w:trPr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3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14:00-14.15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2" w:line="288" w:lineRule="exact"/>
                          <w:ind w:left="115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Përmbledhja e prezanti- meve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2" w:line="288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Facilitatorja përmbledh diskutimet duke u ndalur në gjërat më të rëndësishme lidhur me praktikën e ndjekjes së gruas shtazënë në tremujorin e parë.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553"/>
                      <w:jc w:val="left"/>
                    </w:trPr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ind w:left="113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14.15.14.30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ind w:left="241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Mbyllja</w:t>
                        </w:r>
                      </w:p>
                    </w:tc>
                    <w:tc>
                      <w:tcPr>
                        <w:tcW w:w="6061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 w:line="306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Informimi për temën e Takimit te 2.</w:t>
                        </w:r>
                      </w:p>
                      <w:p>
                        <w:pPr>
                          <w:pStyle w:val="TableParagraph"/>
                          <w:spacing w:before="8" w:line="213" w:lineRule="auto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Diskutohet dhe vendoset axhenda dhe detyrat e anëtarëve të grupit deri në dhe për Takimin tjetër si dhe data e takimit tjetër.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Falenderohen kolegët për pjesëmarrjen aktive në Takim.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4749825</wp:posOffset>
            </wp:positionV>
            <wp:extent cx="154019" cy="154019"/>
            <wp:effectExtent l="0" t="0" r="0" b="0"/>
            <wp:wrapTopAndBottom/>
            <wp:docPr id="17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spacing w:before="13"/>
        <w:rPr>
          <w:sz w:val="8"/>
        </w:rPr>
      </w:pPr>
    </w:p>
    <w:p>
      <w:pPr>
        <w:pStyle w:val="Heading4"/>
        <w:spacing w:before="100" w:line="256" w:lineRule="auto"/>
        <w:ind w:left="1835" w:right="8674" w:firstLine="2"/>
      </w:pPr>
      <w:r>
        <w:rPr>
          <w:color w:val="221F1F"/>
        </w:rPr>
        <w:t>Pjesëmarrësit Anëtarët e Grupit:</w:t>
      </w:r>
    </w:p>
    <w:p>
      <w:pPr>
        <w:pStyle w:val="BodyText"/>
        <w:spacing w:line="265" w:lineRule="exact"/>
        <w:ind w:left="1841"/>
      </w:pPr>
      <w:r>
        <w:rPr>
          <w:color w:val="221F1F"/>
        </w:rPr>
        <w:t>Emër Mbiemër, Pozicioni, QSH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4"/>
        <w:spacing w:before="105"/>
        <w:ind w:left="847"/>
        <w:rPr>
          <w:rFonts w:ascii="Calibri"/>
        </w:rPr>
      </w:pPr>
      <w:r>
        <w:rPr>
          <w:rFonts w:ascii="Calibri"/>
          <w:color w:val="393D48"/>
          <w:w w:val="105"/>
        </w:rPr>
        <w:t>44</w:t>
      </w:r>
    </w:p>
    <w:p>
      <w:pPr>
        <w:spacing w:after="0"/>
        <w:rPr>
          <w:rFonts w:ascii="Calibri"/>
        </w:rPr>
      </w:pP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