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spacing w:before="914"/>
        <w:ind w:left="6668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295.7pt,59.3pt" to="545.4pt,59.3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Heading1"/>
        <w:spacing w:before="916"/>
      </w:pPr>
      <w:r>
        <w:rPr>
          <w:color w:val="00A4C0"/>
          <w:spacing w:val="-15"/>
        </w:rPr>
        <w:t xml:space="preserve">ANEKS </w:t>
      </w:r>
      <w:r>
        <w:rPr>
          <w:color w:val="00A4C0"/>
        </w:rPr>
        <w:t>6</w:t>
      </w:r>
    </w:p>
    <w:p>
      <w:pPr>
        <w:pStyle w:val="Heading3"/>
      </w:pPr>
      <w:r>
        <w:rPr>
          <w:color w:val="00A4C0"/>
        </w:rPr>
        <w:t>Shembull i raportit të vlerësimit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pStyle w:val="Heading4"/>
        <w:spacing w:before="100"/>
        <w:ind w:left="2038" w:right="2038"/>
        <w:jc w:val="center"/>
      </w:pPr>
      <w:r>
        <w:rPr>
          <w:color w:val="231F1F"/>
        </w:rPr>
        <w:t>Përmbledhje e vlerësimeve të pjesëmarrësve</w:t>
      </w:r>
    </w:p>
    <w:p>
      <w:pPr>
        <w:spacing w:before="247" w:line="189" w:lineRule="auto"/>
        <w:ind w:left="2040" w:right="2038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Grup Kolegësh ndërmjet infermiereve të Qendrës Shëndetësore _______ lidhur me aftësimin në përdorimin e mjeteve të çantës së infermierit.</w:t>
      </w:r>
    </w:p>
    <w:p>
      <w:pPr>
        <w:pStyle w:val="BodyText"/>
        <w:spacing w:before="248" w:line="264" w:lineRule="exact"/>
        <w:ind w:left="1830" w:right="1737" w:firstLine="6"/>
      </w:pPr>
      <w:r>
        <w:rPr>
          <w:color w:val="231F1F"/>
          <w:spacing w:val="-3"/>
        </w:rPr>
        <w:t xml:space="preserve">Në </w:t>
      </w:r>
      <w:r>
        <w:rPr>
          <w:color w:val="231F1F"/>
        </w:rPr>
        <w:t xml:space="preserve">përgjithësi Grupi i </w:t>
      </w:r>
      <w:r>
        <w:rPr>
          <w:color w:val="231F1F"/>
          <w:spacing w:val="-3"/>
        </w:rPr>
        <w:t xml:space="preserve">Kolegëve </w:t>
      </w:r>
      <w:r>
        <w:rPr>
          <w:color w:val="231F1F"/>
        </w:rPr>
        <w:t xml:space="preserve">ndërmjet infermiereve të Qendrës </w:t>
      </w:r>
      <w:r>
        <w:rPr>
          <w:color w:val="231F1F"/>
          <w:spacing w:val="-2"/>
        </w:rPr>
        <w:t xml:space="preserve">Shëndetësore </w:t>
      </w:r>
      <w:r>
        <w:rPr>
          <w:color w:val="231F1F"/>
          <w:spacing w:val="8"/>
        </w:rPr>
        <w:t xml:space="preserve">_________ </w:t>
      </w:r>
      <w:r>
        <w:rPr>
          <w:color w:val="231F1F"/>
        </w:rPr>
        <w:t xml:space="preserve">lidhur me Përdorimin e </w:t>
      </w:r>
      <w:r>
        <w:rPr>
          <w:color w:val="231F1F"/>
          <w:spacing w:val="-3"/>
        </w:rPr>
        <w:t xml:space="preserve">mjeteve </w:t>
      </w:r>
      <w:r>
        <w:rPr>
          <w:color w:val="231F1F"/>
        </w:rPr>
        <w:t xml:space="preserve">të çantës së infermierit është vlerësuar shumë mirë në çdo aspekt të tij, facilitatoret, materialet didaktike, organizimi, shpjegimi teorik , pjesa praktike si dhe diskutimet. Infermjeret jane </w:t>
      </w:r>
      <w:r>
        <w:rPr>
          <w:color w:val="231F1F"/>
          <w:spacing w:val="-3"/>
        </w:rPr>
        <w:t xml:space="preserve">shprehur </w:t>
      </w:r>
      <w:r>
        <w:rPr>
          <w:color w:val="231F1F"/>
        </w:rPr>
        <w:t xml:space="preserve">se janë të kënaqura me këtë aktivitet dhe seçështja përputhet </w:t>
      </w:r>
      <w:r>
        <w:rPr>
          <w:color w:val="231F1F"/>
          <w:spacing w:val="-3"/>
        </w:rPr>
        <w:t xml:space="preserve">menevojën  </w:t>
      </w:r>
      <w:r>
        <w:rPr>
          <w:color w:val="231F1F"/>
        </w:rPr>
        <w:t xml:space="preserve">për aftësimin  në përdorimin e </w:t>
      </w:r>
      <w:r>
        <w:rPr>
          <w:color w:val="231F1F"/>
          <w:spacing w:val="-3"/>
        </w:rPr>
        <w:t xml:space="preserve">pajisjeve  </w:t>
      </w:r>
      <w:r>
        <w:rPr>
          <w:color w:val="231F1F"/>
        </w:rPr>
        <w:t xml:space="preserve">të çantës së infermjerit në   punën e tyre të përditshme. </w:t>
      </w:r>
      <w:r>
        <w:rPr>
          <w:color w:val="231F1F"/>
          <w:spacing w:val="-3"/>
        </w:rPr>
        <w:t xml:space="preserve">Ato </w:t>
      </w:r>
      <w:r>
        <w:rPr>
          <w:color w:val="231F1F"/>
        </w:rPr>
        <w:t xml:space="preserve">janë </w:t>
      </w:r>
      <w:r>
        <w:rPr>
          <w:color w:val="231F1F"/>
          <w:spacing w:val="-3"/>
        </w:rPr>
        <w:t xml:space="preserve">shprehur </w:t>
      </w:r>
      <w:r>
        <w:rPr>
          <w:color w:val="231F1F"/>
        </w:rPr>
        <w:t xml:space="preserve">se kanë mësuar gjëra që më parë nuk i kanë  ditur, janë aftësuar në përdorimin e </w:t>
      </w:r>
      <w:r>
        <w:rPr>
          <w:color w:val="231F1F"/>
          <w:spacing w:val="-3"/>
        </w:rPr>
        <w:t xml:space="preserve">mjeteve </w:t>
      </w:r>
      <w:r>
        <w:rPr>
          <w:color w:val="231F1F"/>
        </w:rPr>
        <w:t xml:space="preserve">të punës te cilat më parë nuk i kanë patur/përdorur dhe në përgjithësi kanë freskuar </w:t>
      </w:r>
      <w:r>
        <w:rPr>
          <w:color w:val="231F1F"/>
          <w:spacing w:val="-3"/>
        </w:rPr>
        <w:t xml:space="preserve">njohuritë  </w:t>
      </w:r>
      <w:r>
        <w:rPr>
          <w:color w:val="231F1F"/>
        </w:rPr>
        <w:t>teorike si dhe aftësitë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praktike.</w:t>
      </w:r>
    </w:p>
    <w:p>
      <w:pPr>
        <w:pStyle w:val="BodyText"/>
        <w:spacing w:before="161" w:line="196" w:lineRule="auto"/>
        <w:ind w:left="1817" w:right="2086" w:firstLine="1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273466</wp:posOffset>
            </wp:positionV>
            <wp:extent cx="155575" cy="155575"/>
            <wp:effectExtent l="0" t="0" r="0" b="0"/>
            <wp:wrapNone/>
            <wp:docPr id="14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273466</wp:posOffset>
            </wp:positionV>
            <wp:extent cx="155575" cy="155575"/>
            <wp:effectExtent l="0" t="0" r="0" b="0"/>
            <wp:wrapNone/>
            <wp:docPr id="14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</w:rPr>
        <w:t xml:space="preserve">Pjesëmarrja gjatë takimeve ka </w:t>
      </w:r>
      <w:r>
        <w:rPr>
          <w:color w:val="231F1F"/>
          <w:spacing w:val="-3"/>
        </w:rPr>
        <w:t xml:space="preserve">qenë  </w:t>
      </w:r>
      <w:r>
        <w:rPr>
          <w:color w:val="231F1F"/>
        </w:rPr>
        <w:t xml:space="preserve">e  </w:t>
      </w:r>
      <w:r>
        <w:rPr>
          <w:color w:val="231F1F"/>
          <w:spacing w:val="-3"/>
        </w:rPr>
        <w:t xml:space="preserve">plotë.  </w:t>
      </w:r>
      <w:r>
        <w:rPr>
          <w:color w:val="231F1F"/>
        </w:rPr>
        <w:t xml:space="preserve">Pjesëmarrësit  kanë  qenë  dëgjues  të  mirë gjatë shpjegimit dhe </w:t>
      </w:r>
      <w:r>
        <w:rPr>
          <w:color w:val="231F1F"/>
          <w:spacing w:val="2"/>
        </w:rPr>
        <w:t xml:space="preserve">aktiv </w:t>
      </w:r>
      <w:r>
        <w:rPr>
          <w:color w:val="231F1F"/>
        </w:rPr>
        <w:t xml:space="preserve">gjatë pjesës praktike dhe pyetjeve dhe diskutimeve. </w:t>
      </w:r>
      <w:r>
        <w:rPr>
          <w:color w:val="231F1F"/>
          <w:spacing w:val="-3"/>
        </w:rPr>
        <w:t xml:space="preserve">Kolegët </w:t>
      </w:r>
      <w:r>
        <w:rPr>
          <w:color w:val="231F1F"/>
        </w:rPr>
        <w:t xml:space="preserve">janë </w:t>
      </w:r>
      <w:r>
        <w:rPr>
          <w:color w:val="231F1F"/>
          <w:spacing w:val="-3"/>
        </w:rPr>
        <w:t>shprehur</w:t>
      </w:r>
      <w:r>
        <w:rPr>
          <w:color w:val="231F1F"/>
          <w:spacing w:val="-23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trajnime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të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edukimit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në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vazhdim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të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këtij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lloji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të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organizohen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më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shpesh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në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Q.SH</w:t>
      </w:r>
    </w:p>
    <w:p>
      <w:pPr>
        <w:pStyle w:val="BodyText"/>
        <w:spacing w:line="280" w:lineRule="exact"/>
        <w:ind w:left="1822"/>
      </w:pPr>
      <w:r>
        <w:rPr>
          <w:color w:val="231F1F"/>
        </w:rPr>
        <w:t>___________.</w:t>
      </w:r>
    </w:p>
    <w:p>
      <w:pPr>
        <w:pStyle w:val="BodyText"/>
        <w:spacing w:before="250" w:line="194" w:lineRule="auto"/>
        <w:ind w:left="1837" w:right="1888"/>
        <w:jc w:val="both"/>
      </w:pPr>
      <w:r>
        <w:rPr>
          <w:color w:val="231F1F"/>
        </w:rPr>
        <w:t>Tabela më poshtë jep mesataret e vlerësimeve për çdo komponent të vlerësimit bazuar në analizën e Formularëve të plotësuar në mënyrë anonime nga anëtarët e Grupit në fund të Takimit të fundit.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Style w:val="TableNormal"/>
        <w:tblW w:w="0" w:type="auto"/>
        <w:jc w:val="left"/>
        <w:tblInd w:w="1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2"/>
        <w:gridCol w:w="1469"/>
      </w:tblGrid>
      <w:tr>
        <w:tblPrEx>
          <w:tblW w:w="0" w:type="auto"/>
          <w:jc w:val="left"/>
          <w:tblInd w:w="1837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33"/>
          <w:jc w:val="left"/>
        </w:trPr>
        <w:tc>
          <w:tcPr>
            <w:tcW w:w="7592" w:type="dxa"/>
            <w:tcBorders>
              <w:top w:val="nil"/>
              <w:left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84"/>
              <w:ind w:left="24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Komponente të vlerësimit*</w:t>
            </w: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  <w:shd w:val="clear" w:color="auto" w:fill="00A4C0"/>
          </w:tcPr>
          <w:p>
            <w:pPr>
              <w:pStyle w:val="TableParagraph"/>
              <w:spacing w:before="180"/>
              <w:ind w:left="147" w:right="1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MESATAR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309" w:lineRule="exact"/>
              <w:ind w:left="73"/>
              <w:rPr>
                <w:sz w:val="24"/>
              </w:rPr>
            </w:pPr>
            <w:r>
              <w:rPr>
                <w:color w:val="231F1F"/>
                <w:sz w:val="24"/>
              </w:rPr>
              <w:t>Aktiviteti më pëlqeu</w:t>
            </w:r>
          </w:p>
        </w:tc>
        <w:tc>
          <w:tcPr>
            <w:tcW w:w="1469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307" w:lineRule="exact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290" w:lineRule="exact"/>
              <w:ind w:left="76"/>
              <w:rPr>
                <w:sz w:val="24"/>
              </w:rPr>
            </w:pPr>
            <w:r>
              <w:rPr>
                <w:color w:val="231F1F"/>
                <w:sz w:val="24"/>
              </w:rPr>
              <w:t>Përmbajtja e trajnimit i përmbushi pritshmëritë e mia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302" w:lineRule="exact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color w:val="231F1F"/>
                <w:sz w:val="24"/>
              </w:rPr>
              <w:t>Unë do ti zbatoj në praktikë ato çfarë mësova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331" w:lineRule="exact"/>
              <w:ind w:left="495" w:right="490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31F1F"/>
                <w:sz w:val="24"/>
              </w:rPr>
              <w:t>Materialet e shpërndara më ndihmuan për të mësuar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1"/>
              <w:ind w:left="489" w:right="496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Unë pata mundësi për të qenë aktiv në trajnim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9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Unë u  ndjeva mirë në grup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9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Vendi i takimit ishte i përshtatshëm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9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Unë do ta rekomandoja këtë aktivitet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9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4.00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45"/>
          <w:jc w:val="left"/>
        </w:trPr>
        <w:tc>
          <w:tcPr>
            <w:tcW w:w="759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Do të donit që të përsëritej vitin tjetër ky lloj aktiviteti i edukimit në vazhdim</w:t>
            </w:r>
          </w:p>
        </w:tc>
        <w:tc>
          <w:tcPr>
            <w:tcW w:w="14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9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4.00</w:t>
            </w:r>
          </w:p>
        </w:tc>
      </w:tr>
    </w:tbl>
    <w:p>
      <w:pPr>
        <w:pStyle w:val="BodyText"/>
        <w:spacing w:before="7"/>
        <w:rPr>
          <w:sz w:val="11"/>
        </w:rPr>
      </w:pPr>
    </w:p>
    <w:p>
      <w:pPr>
        <w:spacing w:before="101" w:line="293" w:lineRule="exact"/>
        <w:ind w:left="1837" w:right="0" w:firstLine="0"/>
        <w:jc w:val="left"/>
        <w:rPr>
          <w:i/>
          <w:sz w:val="24"/>
        </w:rPr>
      </w:pPr>
      <w:r>
        <w:rPr>
          <w:color w:val="231F1F"/>
          <w:sz w:val="24"/>
        </w:rPr>
        <w:t xml:space="preserve">*çdo aspekt i mësipërm është vlerësuar me pikët 1-4 ku: </w:t>
      </w:r>
      <w:r>
        <w:rPr>
          <w:i/>
          <w:color w:val="231F1F"/>
          <w:sz w:val="24"/>
        </w:rPr>
        <w:t>1-nuk jam fare dakord; 2-nuk jam</w:t>
      </w:r>
    </w:p>
    <w:p>
      <w:pPr>
        <w:tabs>
          <w:tab w:val="left" w:pos="1823"/>
        </w:tabs>
        <w:spacing w:before="0" w:line="321" w:lineRule="exact"/>
        <w:ind w:left="853" w:right="0" w:firstLine="0"/>
        <w:jc w:val="left"/>
        <w:rPr>
          <w:i/>
          <w:sz w:val="24"/>
        </w:rPr>
      </w:pPr>
      <w:r>
        <w:rPr>
          <w:rFonts w:ascii="Calibri" w:hAnsi="Calibri"/>
          <w:b/>
          <w:color w:val="383D49"/>
          <w:spacing w:val="-4"/>
          <w:position w:val="4"/>
          <w:sz w:val="24"/>
        </w:rPr>
        <w:t>36</w:t>
        <w:tab/>
      </w:r>
      <w:r>
        <w:rPr>
          <w:i/>
          <w:color w:val="231F1F"/>
          <w:sz w:val="24"/>
        </w:rPr>
        <w:t>dakord; 3-jam dakord; 4-jam shumë</w:t>
      </w:r>
      <w:r>
        <w:rPr>
          <w:i/>
          <w:color w:val="231F1F"/>
          <w:spacing w:val="-19"/>
          <w:sz w:val="24"/>
        </w:rPr>
        <w:t xml:space="preserve"> </w:t>
      </w:r>
      <w:r>
        <w:rPr>
          <w:i/>
          <w:color w:val="231F1F"/>
          <w:sz w:val="24"/>
        </w:rPr>
        <w:t>dakord.</w:t>
      </w:r>
    </w:p>
    <w:p>
      <w:pPr>
        <w:spacing w:after="0" w:line="321" w:lineRule="exact"/>
        <w:jc w:val="left"/>
        <w:rPr>
          <w:sz w:val="24"/>
        </w:rPr>
      </w:pP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