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6"/>
        </w:rPr>
      </w:pPr>
    </w:p>
    <w:p>
      <w:pPr>
        <w:spacing w:before="100"/>
        <w:ind w:left="6668" w:right="0" w:firstLine="0"/>
        <w:jc w:val="left"/>
        <w:rPr>
          <w:sz w:val="16"/>
        </w:rPr>
      </w:pPr>
      <w:r>
        <w:pict>
          <v:line id="_x0000_s1025" style="mso-position-horizontal-relative:page;mso-wrap-distance-left:0;mso-wrap-distance-right:0;position:absolute;z-index:251658240" from="295.7pt,18.6pt" to="545.4pt,18.6pt" stroked="t" strokecolor="#f7941d" strokeweight="0.5pt">
            <v:stroke dashstyle="solid"/>
            <w10:wrap type="topAndBottom"/>
          </v:line>
        </w:pict>
      </w:r>
      <w:r>
        <w:rPr>
          <w:color w:val="3A3F49"/>
          <w:sz w:val="16"/>
        </w:rPr>
        <w:t>Një udhëzues për të mbështetur ngritjen dhe funksionimin e  GK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color w:val="00A4C0"/>
          <w:spacing w:val="-15"/>
        </w:rPr>
        <w:t>ANEKS</w:t>
      </w:r>
      <w:r>
        <w:rPr>
          <w:color w:val="00A4C0"/>
          <w:spacing w:val="-77"/>
        </w:rPr>
        <w:t xml:space="preserve"> </w:t>
      </w:r>
      <w:r>
        <w:rPr>
          <w:color w:val="00A4C0"/>
          <w:spacing w:val="-79"/>
        </w:rPr>
        <w:t>14</w:t>
      </w:r>
    </w:p>
    <w:p>
      <w:pPr>
        <w:pStyle w:val="Heading3"/>
      </w:pPr>
      <w:r>
        <w:rPr>
          <w:color w:val="00A4C0"/>
        </w:rPr>
        <w:t>Shembull i plotësuar i raportit të takimit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0"/>
        </w:rPr>
      </w:pPr>
    </w:p>
    <w:p>
      <w:pPr>
        <w:pStyle w:val="Heading4"/>
        <w:spacing w:before="100" w:line="310" w:lineRule="exact"/>
        <w:ind w:left="1921"/>
        <w:jc w:val="both"/>
      </w:pPr>
      <w:r>
        <w:rPr>
          <w:color w:val="221F1F"/>
        </w:rPr>
        <w:t>Raporti i Takimit të I për ”Grupin e Kolegëve” me Mjekë familje të Qendrës Shëndetësore</w:t>
      </w:r>
    </w:p>
    <w:p>
      <w:pPr>
        <w:spacing w:before="0" w:line="310" w:lineRule="exact"/>
        <w:ind w:left="2038" w:right="2038" w:firstLine="0"/>
        <w:jc w:val="center"/>
        <w:rPr>
          <w:b/>
          <w:sz w:val="24"/>
        </w:rPr>
      </w:pPr>
      <w:r>
        <w:rPr>
          <w:b/>
          <w:color w:val="221F1F"/>
          <w:sz w:val="24"/>
        </w:rPr>
        <w:t>_________________________________</w:t>
      </w:r>
    </w:p>
    <w:p>
      <w:pPr>
        <w:pStyle w:val="BodyText"/>
        <w:spacing w:before="259" w:line="288" w:lineRule="exact"/>
        <w:ind w:left="1837" w:right="1836"/>
        <w:jc w:val="both"/>
      </w:pPr>
      <w:r>
        <w:rPr>
          <w:b/>
          <w:color w:val="221F1F"/>
          <w:spacing w:val="-5"/>
        </w:rPr>
        <w:t>Tema</w:t>
      </w:r>
      <w:r>
        <w:rPr>
          <w:color w:val="221F1F"/>
          <w:spacing w:val="-5"/>
        </w:rPr>
        <w:t xml:space="preserve">: </w:t>
      </w:r>
      <w:r>
        <w:rPr>
          <w:color w:val="221F1F"/>
        </w:rPr>
        <w:t xml:space="preserve">Evidentimi i praktikave që ndiqen nga </w:t>
      </w:r>
      <w:r>
        <w:rPr>
          <w:color w:val="221F1F"/>
          <w:spacing w:val="-3"/>
        </w:rPr>
        <w:t xml:space="preserve">Mjekët </w:t>
      </w:r>
      <w:r>
        <w:rPr>
          <w:color w:val="221F1F"/>
        </w:rPr>
        <w:t>e grupit lidhur me përshkrimin e barnave hipolipidemike.</w:t>
      </w:r>
    </w:p>
    <w:p>
      <w:pPr>
        <w:pStyle w:val="BodyText"/>
        <w:spacing w:before="288" w:line="288" w:lineRule="exact"/>
        <w:ind w:left="1837" w:right="1834"/>
        <w:jc w:val="both"/>
      </w:pPr>
      <w:r>
        <w:rPr>
          <w:b/>
          <w:color w:val="221F1F"/>
        </w:rPr>
        <w:t xml:space="preserve">Qëllimi: </w:t>
      </w:r>
      <w:r>
        <w:rPr>
          <w:color w:val="221F1F"/>
        </w:rPr>
        <w:t>Njohjae praktikave që ndiqen nga anëtarët e grupit, evidentimi i të përbashkëtave, ndryshimeve dhe e nevojave për unifikimin e praktikës së anëtarëve të grupit në përshkrimin e barnave hipolipidemikë.</w:t>
      </w:r>
    </w:p>
    <w:p>
      <w:pPr>
        <w:spacing w:before="272"/>
        <w:ind w:left="1837" w:right="0" w:firstLine="0"/>
        <w:jc w:val="both"/>
        <w:rPr>
          <w:sz w:val="24"/>
        </w:rPr>
      </w:pPr>
      <w:r>
        <w:rPr>
          <w:b/>
          <w:color w:val="221F1F"/>
          <w:sz w:val="24"/>
        </w:rPr>
        <w:t>Data</w:t>
      </w:r>
      <w:r>
        <w:rPr>
          <w:color w:val="221F1F"/>
          <w:sz w:val="24"/>
        </w:rPr>
        <w:t xml:space="preserve">: 26 maj </w:t>
      </w:r>
      <w:r>
        <w:rPr>
          <w:color w:val="221F1F"/>
          <w:spacing w:val="-7"/>
          <w:sz w:val="24"/>
        </w:rPr>
        <w:t>2016</w:t>
      </w:r>
    </w:p>
    <w:p>
      <w:pPr>
        <w:spacing w:before="244"/>
        <w:ind w:left="1837" w:right="0" w:firstLine="0"/>
        <w:jc w:val="both"/>
        <w:rPr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17462</wp:posOffset>
            </wp:positionH>
            <wp:positionV relativeFrom="paragraph">
              <wp:posOffset>435140</wp:posOffset>
            </wp:positionV>
            <wp:extent cx="155575" cy="155575"/>
            <wp:effectExtent l="0" t="0" r="0" b="0"/>
            <wp:wrapNone/>
            <wp:docPr id="203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133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7920367</wp:posOffset>
            </wp:positionH>
            <wp:positionV relativeFrom="paragraph">
              <wp:posOffset>435140</wp:posOffset>
            </wp:positionV>
            <wp:extent cx="155575" cy="155575"/>
            <wp:effectExtent l="0" t="0" r="0" b="0"/>
            <wp:wrapNone/>
            <wp:docPr id="205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116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1F1F"/>
          <w:sz w:val="24"/>
        </w:rPr>
        <w:t>Vendi i takimit</w:t>
      </w:r>
      <w:r>
        <w:rPr>
          <w:color w:val="221F1F"/>
          <w:sz w:val="24"/>
        </w:rPr>
        <w:t>: QSH_____________________________</w:t>
      </w:r>
    </w:p>
    <w:p>
      <w:pPr>
        <w:pStyle w:val="BodyText"/>
        <w:spacing w:before="244"/>
        <w:ind w:left="1837"/>
        <w:jc w:val="both"/>
      </w:pPr>
      <w:r>
        <w:rPr>
          <w:b/>
          <w:color w:val="221F1F"/>
        </w:rPr>
        <w:t>Ora</w:t>
      </w:r>
      <w:r>
        <w:rPr>
          <w:color w:val="221F1F"/>
        </w:rPr>
        <w:t>: 12.00-14.00</w:t>
      </w:r>
    </w:p>
    <w:p>
      <w:pPr>
        <w:spacing w:before="244"/>
        <w:ind w:left="1837" w:right="0" w:firstLine="0"/>
        <w:jc w:val="both"/>
        <w:rPr>
          <w:sz w:val="24"/>
        </w:rPr>
      </w:pPr>
      <w:r>
        <w:rPr>
          <w:b/>
          <w:color w:val="221F1F"/>
          <w:sz w:val="24"/>
        </w:rPr>
        <w:t>Facilitatori</w:t>
      </w:r>
      <w:r>
        <w:rPr>
          <w:color w:val="221F1F"/>
          <w:sz w:val="24"/>
        </w:rPr>
        <w:t>: Dr. Ervis Tola</w:t>
      </w:r>
    </w:p>
    <w:p>
      <w:pPr>
        <w:spacing w:before="244"/>
        <w:ind w:left="1837" w:right="0" w:firstLine="0"/>
        <w:jc w:val="both"/>
        <w:rPr>
          <w:sz w:val="24"/>
        </w:rPr>
      </w:pPr>
      <w:r>
        <w:rPr>
          <w:b/>
          <w:color w:val="221F1F"/>
          <w:sz w:val="24"/>
        </w:rPr>
        <w:t xml:space="preserve">Program i takimit </w:t>
      </w:r>
      <w:r>
        <w:rPr>
          <w:color w:val="221F1F"/>
          <w:sz w:val="24"/>
        </w:rPr>
        <w:t>bashkëlidhur.</w:t>
      </w:r>
    </w:p>
    <w:p>
      <w:pPr>
        <w:pStyle w:val="BodyText"/>
        <w:spacing w:before="252"/>
        <w:ind w:left="1837"/>
        <w:jc w:val="both"/>
      </w:pPr>
      <w:r>
        <w:rPr>
          <w:color w:val="221F1F"/>
        </w:rPr>
        <w:t>Në takim morën pjesë anëtarët e Grupit sipas listës së pjesëmarrjes me firma bashkëlidhur.</w:t>
      </w:r>
    </w:p>
    <w:p>
      <w:pPr>
        <w:pStyle w:val="BodyText"/>
        <w:spacing w:before="259" w:line="288" w:lineRule="exact"/>
        <w:ind w:left="1837" w:right="1834"/>
        <w:jc w:val="both"/>
      </w:pPr>
      <w:r>
        <w:rPr>
          <w:color w:val="221F1F"/>
        </w:rPr>
        <w:t>Sipas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Programit,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3"/>
        </w:rPr>
        <w:t>takimi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hap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nga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facilitatori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cili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prezantoi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qëllimin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2"/>
        </w:rPr>
        <w:t>ciklit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të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takimeve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që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 xml:space="preserve">lidhet me standardizimin e përshkrimit të barnave hipolipidemike në praktikën e </w:t>
      </w:r>
      <w:r>
        <w:rPr>
          <w:color w:val="221F1F"/>
          <w:spacing w:val="-3"/>
        </w:rPr>
        <w:t xml:space="preserve">Mjekut </w:t>
      </w:r>
      <w:r>
        <w:rPr>
          <w:color w:val="221F1F"/>
        </w:rPr>
        <w:t xml:space="preserve">të Familjes (anëtarë të </w:t>
      </w:r>
      <w:r>
        <w:rPr>
          <w:color w:val="221F1F"/>
          <w:spacing w:val="-3"/>
        </w:rPr>
        <w:t xml:space="preserve">grupit) </w:t>
      </w:r>
      <w:r>
        <w:rPr>
          <w:color w:val="221F1F"/>
        </w:rPr>
        <w:t xml:space="preserve">dhe qëllimin e </w:t>
      </w:r>
      <w:r>
        <w:rPr>
          <w:color w:val="221F1F"/>
          <w:spacing w:val="2"/>
        </w:rPr>
        <w:t xml:space="preserve">takimit </w:t>
      </w:r>
      <w:r>
        <w:rPr>
          <w:color w:val="221F1F"/>
        </w:rPr>
        <w:t>që ka të bëjë me evidentimin e të përbashkëtave, ndryshimeve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dhe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3"/>
        </w:rPr>
        <w:t>nevojës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për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standardizimin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praktikës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së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anëtarëve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të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grupit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në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përshkrimin e barnave</w:t>
      </w:r>
      <w:r>
        <w:rPr>
          <w:color w:val="221F1F"/>
          <w:spacing w:val="-25"/>
        </w:rPr>
        <w:t xml:space="preserve"> </w:t>
      </w:r>
      <w:r>
        <w:rPr>
          <w:color w:val="221F1F"/>
        </w:rPr>
        <w:t>hipolipidemikë.</w:t>
      </w:r>
    </w:p>
    <w:p>
      <w:pPr>
        <w:pStyle w:val="BodyText"/>
        <w:spacing w:before="281"/>
        <w:ind w:left="1837"/>
        <w:jc w:val="both"/>
      </w:pPr>
      <w:r>
        <w:rPr>
          <w:color w:val="221F1F"/>
        </w:rPr>
        <w:t>Sipas axhendës nisi diskutimi i anëtarëve të grupit.</w:t>
      </w:r>
    </w:p>
    <w:p>
      <w:pPr>
        <w:pStyle w:val="BodyText"/>
        <w:spacing w:before="259" w:line="288" w:lineRule="exact"/>
        <w:ind w:left="1837" w:right="1835"/>
        <w:jc w:val="both"/>
      </w:pPr>
      <w:r>
        <w:rPr>
          <w:color w:val="221F1F"/>
          <w:spacing w:val="-4"/>
        </w:rPr>
        <w:t>Dr.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2"/>
        </w:rPr>
        <w:t>Ervis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7"/>
        </w:rPr>
        <w:t>Tola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3"/>
        </w:rPr>
        <w:t>(facilitatori)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prezantoi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analizën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të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dhënave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të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tabelës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së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auditit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3"/>
        </w:rPr>
        <w:t>klinik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të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 xml:space="preserve">plotësuar në mënyrë anonime nga anëtarët e grupit nga </w:t>
      </w:r>
      <w:r>
        <w:rPr>
          <w:color w:val="221F1F"/>
          <w:spacing w:val="-7"/>
        </w:rPr>
        <w:t xml:space="preserve">1-20 </w:t>
      </w:r>
      <w:r>
        <w:rPr>
          <w:color w:val="221F1F"/>
        </w:rPr>
        <w:t>maj</w:t>
      </w:r>
      <w:r>
        <w:rPr>
          <w:color w:val="221F1F"/>
          <w:spacing w:val="-25"/>
        </w:rPr>
        <w:t xml:space="preserve"> </w:t>
      </w:r>
      <w:r>
        <w:rPr>
          <w:color w:val="221F1F"/>
          <w:spacing w:val="-6"/>
        </w:rPr>
        <w:t>2016.</w:t>
      </w:r>
    </w:p>
    <w:p>
      <w:pPr>
        <w:pStyle w:val="BodyText"/>
        <w:spacing w:before="281"/>
        <w:ind w:left="1837"/>
        <w:jc w:val="both"/>
      </w:pPr>
      <w:r>
        <w:rPr>
          <w:color w:val="221F1F"/>
        </w:rPr>
        <w:t>Tabela e auditit klinik: Praktika e përshkrimit të barnave hipolipidemikë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4"/>
        <w:spacing w:before="105"/>
        <w:ind w:left="853"/>
        <w:rPr>
          <w:rFonts w:ascii="Calibri"/>
        </w:rPr>
      </w:pPr>
      <w:r>
        <w:rPr>
          <w:rFonts w:ascii="Calibri"/>
          <w:color w:val="393D48"/>
          <w:w w:val="105"/>
        </w:rPr>
        <w:t>51</w:t>
      </w:r>
    </w:p>
    <w:p>
      <w:pPr>
        <w:spacing w:after="0"/>
        <w:rPr>
          <w:rFonts w:ascii="Calibri"/>
        </w:rPr>
        <w:sectPr>
          <w:pgSz w:w="12750" w:h="17680"/>
          <w:pgMar w:top="420" w:right="0" w:bottom="420" w:left="0" w:header="0" w:footer="223"/>
          <w:cols w:space="708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6"/>
        </w:rPr>
      </w:pPr>
    </w:p>
    <w:p>
      <w:pPr>
        <w:spacing w:before="100"/>
        <w:ind w:left="1837" w:right="0" w:firstLine="0"/>
        <w:jc w:val="left"/>
        <w:rPr>
          <w:sz w:val="16"/>
        </w:rPr>
      </w:pPr>
      <w:r>
        <w:pict>
          <v:line id="_x0000_s1026" style="mso-position-horizontal-relative:page;mso-wrap-distance-left:0;mso-wrap-distance-right:0;position:absolute;z-index:251661312" from="91.85pt,18.6pt" to="425.8pt,18.6pt" stroked="t" strokecolor="#f7941d" strokeweight="0.5pt">
            <v:stroke dashstyle="solid"/>
            <w10:wrap type="topAndBottom"/>
          </v:line>
        </w:pict>
      </w:r>
      <w:r>
        <w:rPr>
          <w:color w:val="3A3F49"/>
          <w:sz w:val="16"/>
        </w:rPr>
        <w:t>Grupet e Kolegëve (GK) - Formë e Edukimit në Vazhdim të Profesionistëve të  Shëndetësisë</w:t>
      </w:r>
    </w:p>
    <w:p>
      <w:pPr>
        <w:pStyle w:val="BodyText"/>
        <w:spacing w:before="11"/>
        <w:rPr>
          <w:sz w:val="14"/>
        </w:rPr>
      </w:pPr>
    </w:p>
    <w:tbl>
      <w:tblPr>
        <w:tblStyle w:val="TableNormal"/>
        <w:tblW w:w="0" w:type="auto"/>
        <w:jc w:val="left"/>
        <w:tblInd w:w="18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883"/>
        <w:gridCol w:w="883"/>
        <w:gridCol w:w="3276"/>
        <w:gridCol w:w="3276"/>
      </w:tblGrid>
      <w:tr>
        <w:tblPrEx>
          <w:tblW w:w="0" w:type="auto"/>
          <w:jc w:val="left"/>
          <w:tblInd w:w="1837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92"/>
          <w:jc w:val="left"/>
        </w:trPr>
        <w:tc>
          <w:tcPr>
            <w:tcW w:w="742" w:type="dxa"/>
            <w:vMerge w:val="restart"/>
            <w:tcBorders>
              <w:top w:val="nil"/>
              <w:left w:val="nil"/>
            </w:tcBorders>
            <w:shd w:val="clear" w:color="auto" w:fill="00A4C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233" w:right="22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05"/>
                <w:sz w:val="22"/>
              </w:rPr>
              <w:t>Nr</w:t>
            </w:r>
          </w:p>
        </w:tc>
        <w:tc>
          <w:tcPr>
            <w:tcW w:w="883" w:type="dxa"/>
            <w:vMerge w:val="restart"/>
            <w:tcBorders>
              <w:top w:val="nil"/>
            </w:tcBorders>
            <w:shd w:val="clear" w:color="auto" w:fill="00A4C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4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10"/>
                <w:sz w:val="22"/>
              </w:rPr>
              <w:t>Gjinia</w:t>
            </w:r>
          </w:p>
        </w:tc>
        <w:tc>
          <w:tcPr>
            <w:tcW w:w="883" w:type="dxa"/>
            <w:vMerge w:val="restart"/>
            <w:tcBorders>
              <w:top w:val="nil"/>
            </w:tcBorders>
            <w:shd w:val="clear" w:color="auto" w:fill="00A4C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0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05"/>
                <w:sz w:val="22"/>
              </w:rPr>
              <w:t>Mosha</w:t>
            </w:r>
          </w:p>
        </w:tc>
        <w:tc>
          <w:tcPr>
            <w:tcW w:w="3276" w:type="dxa"/>
            <w:tcBorders>
              <w:top w:val="nil"/>
            </w:tcBorders>
            <w:shd w:val="clear" w:color="auto" w:fill="00A4C0"/>
          </w:tcPr>
          <w:p>
            <w:pPr>
              <w:pStyle w:val="TableParagraph"/>
              <w:spacing w:before="69"/>
              <w:ind w:left="210" w:right="2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05"/>
                <w:sz w:val="22"/>
              </w:rPr>
              <w:t>Barnat/</w:t>
            </w:r>
          </w:p>
        </w:tc>
        <w:tc>
          <w:tcPr>
            <w:tcW w:w="3276" w:type="dxa"/>
            <w:vMerge w:val="restart"/>
            <w:tcBorders>
              <w:top w:val="nil"/>
              <w:right w:val="nil"/>
            </w:tcBorders>
            <w:shd w:val="clear" w:color="auto" w:fill="00A4C0"/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264" w:lineRule="exact"/>
              <w:ind w:left="427" w:right="48" w:hanging="30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10"/>
                <w:sz w:val="22"/>
              </w:rPr>
              <w:t>Hipolipidemiket (sheno emrin e barit dhe dozen ditore)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920"/>
          <w:jc w:val="left"/>
        </w:trPr>
        <w:tc>
          <w:tcPr>
            <w:tcW w:w="742" w:type="dxa"/>
            <w:vMerge/>
            <w:tcBorders>
              <w:left w:val="nil"/>
              <w:bottom w:val="nil"/>
            </w:tcBorders>
            <w:shd w:val="clear" w:color="auto" w:fill="00A4C0"/>
          </w:tcPr>
          <w:p/>
        </w:tc>
        <w:tc>
          <w:tcPr>
            <w:tcW w:w="883" w:type="dxa"/>
            <w:vMerge/>
            <w:tcBorders>
              <w:bottom w:val="nil"/>
            </w:tcBorders>
            <w:shd w:val="clear" w:color="auto" w:fill="00A4C0"/>
          </w:tcPr>
          <w:p/>
        </w:tc>
        <w:tc>
          <w:tcPr>
            <w:tcW w:w="883" w:type="dxa"/>
            <w:vMerge/>
            <w:tcBorders>
              <w:bottom w:val="nil"/>
            </w:tcBorders>
            <w:shd w:val="clear" w:color="auto" w:fill="00A4C0"/>
          </w:tcPr>
          <w:p/>
        </w:tc>
        <w:tc>
          <w:tcPr>
            <w:tcW w:w="3276" w:type="dxa"/>
            <w:tcBorders>
              <w:bottom w:val="nil"/>
            </w:tcBorders>
            <w:shd w:val="clear" w:color="auto" w:fill="00A4C0"/>
          </w:tcPr>
          <w:p>
            <w:pPr>
              <w:pStyle w:val="TableParagraph"/>
              <w:spacing w:before="62" w:line="264" w:lineRule="exact"/>
              <w:ind w:left="211" w:right="21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w w:val="110"/>
                <w:sz w:val="22"/>
              </w:rPr>
              <w:t>Arsyeja e përshkrimit (diagnozen, gjendjen klinike etj.)</w:t>
            </w:r>
          </w:p>
        </w:tc>
        <w:tc>
          <w:tcPr>
            <w:tcW w:w="3276" w:type="dxa"/>
            <w:vMerge/>
            <w:tcBorders>
              <w:bottom w:val="nil"/>
              <w:right w:val="nil"/>
            </w:tcBorders>
            <w:shd w:val="clear" w:color="auto" w:fill="00A4C0"/>
          </w:tcPr>
          <w:p/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552"/>
          <w:jc w:val="left"/>
        </w:trPr>
        <w:tc>
          <w:tcPr>
            <w:tcW w:w="742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38"/>
              <w:ind w:left="157" w:right="157"/>
              <w:jc w:val="center"/>
              <w:rPr>
                <w:sz w:val="22"/>
              </w:rPr>
            </w:pPr>
            <w:r>
              <w:rPr>
                <w:color w:val="221F1F"/>
                <w:sz w:val="22"/>
              </w:rPr>
              <w:t>1.Sh</w:t>
            </w:r>
          </w:p>
        </w:tc>
        <w:tc>
          <w:tcPr>
            <w:tcW w:w="883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38"/>
              <w:jc w:val="center"/>
              <w:rPr>
                <w:sz w:val="22"/>
              </w:rPr>
            </w:pPr>
            <w:r>
              <w:rPr>
                <w:color w:val="221F1F"/>
                <w:sz w:val="22"/>
              </w:rPr>
              <w:t>M</w:t>
            </w:r>
          </w:p>
        </w:tc>
        <w:tc>
          <w:tcPr>
            <w:tcW w:w="883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38"/>
              <w:ind w:left="311" w:right="311"/>
              <w:jc w:val="center"/>
              <w:rPr>
                <w:sz w:val="22"/>
              </w:rPr>
            </w:pPr>
            <w:r>
              <w:rPr>
                <w:color w:val="221F1F"/>
                <w:sz w:val="22"/>
              </w:rPr>
              <w:t>54</w:t>
            </w:r>
          </w:p>
        </w:tc>
        <w:tc>
          <w:tcPr>
            <w:tcW w:w="3276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38"/>
              <w:ind w:left="210" w:right="210"/>
              <w:jc w:val="center"/>
              <w:rPr>
                <w:sz w:val="22"/>
              </w:rPr>
            </w:pPr>
            <w:r>
              <w:rPr>
                <w:color w:val="221F1F"/>
                <w:sz w:val="22"/>
              </w:rPr>
              <w:t>Gjendje post-IM, Dislipidemia</w:t>
            </w:r>
          </w:p>
        </w:tc>
        <w:tc>
          <w:tcPr>
            <w:tcW w:w="3276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38"/>
              <w:ind w:left="613"/>
              <w:rPr>
                <w:sz w:val="22"/>
              </w:rPr>
            </w:pPr>
            <w:r>
              <w:rPr>
                <w:color w:val="221F1F"/>
                <w:sz w:val="22"/>
              </w:rPr>
              <w:t>Atorvastatin 20mg/dite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552"/>
          <w:jc w:val="left"/>
        </w:trPr>
        <w:tc>
          <w:tcPr>
            <w:tcW w:w="742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33"/>
              <w:jc w:val="center"/>
              <w:rPr>
                <w:sz w:val="22"/>
              </w:rPr>
            </w:pPr>
            <w:r>
              <w:rPr>
                <w:color w:val="221F1F"/>
                <w:sz w:val="22"/>
              </w:rPr>
              <w:t>2</w:t>
            </w:r>
          </w:p>
        </w:tc>
        <w:tc>
          <w:tcPr>
            <w:tcW w:w="88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  <w:tc>
          <w:tcPr>
            <w:tcW w:w="88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  <w:tc>
          <w:tcPr>
            <w:tcW w:w="3276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  <w:tc>
          <w:tcPr>
            <w:tcW w:w="3276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77"/>
        <w:ind w:left="1837"/>
        <w:jc w:val="both"/>
      </w:pPr>
      <w:r>
        <w:rPr>
          <w:color w:val="221F1F"/>
        </w:rPr>
        <w:t>Në këtë analizë ai theksoi:</w:t>
      </w:r>
    </w:p>
    <w:p>
      <w:pPr>
        <w:pStyle w:val="ListParagraph"/>
        <w:numPr>
          <w:ilvl w:val="0"/>
          <w:numId w:val="1"/>
        </w:numPr>
        <w:tabs>
          <w:tab w:val="left" w:pos="2558"/>
        </w:tabs>
        <w:spacing w:before="275" w:after="0" w:line="213" w:lineRule="auto"/>
        <w:ind w:left="2553" w:right="1834" w:hanging="356"/>
        <w:jc w:val="left"/>
        <w:rPr>
          <w:sz w:val="24"/>
        </w:rPr>
      </w:pPr>
      <w:r>
        <w:rPr>
          <w:color w:val="221F1F"/>
          <w:sz w:val="24"/>
        </w:rPr>
        <w:t xml:space="preserve">rëndësinë e ndarjes së indikacioneve të këtyre barnave në dy kategori kryesore, </w:t>
      </w:r>
      <w:r>
        <w:rPr>
          <w:i/>
          <w:color w:val="221F1F"/>
          <w:sz w:val="24"/>
        </w:rPr>
        <w:t xml:space="preserve">e </w:t>
      </w:r>
      <w:r>
        <w:rPr>
          <w:i/>
          <w:color w:val="221F1F"/>
          <w:spacing w:val="-3"/>
          <w:sz w:val="24"/>
        </w:rPr>
        <w:t xml:space="preserve">para </w:t>
      </w:r>
      <w:r>
        <w:rPr>
          <w:color w:val="221F1F"/>
          <w:sz w:val="24"/>
        </w:rPr>
        <w:t xml:space="preserve">për parandalim primar të </w:t>
      </w:r>
      <w:r>
        <w:rPr>
          <w:color w:val="221F1F"/>
          <w:spacing w:val="-3"/>
          <w:sz w:val="24"/>
        </w:rPr>
        <w:t xml:space="preserve">sëmundjeve </w:t>
      </w:r>
      <w:r>
        <w:rPr>
          <w:color w:val="221F1F"/>
          <w:sz w:val="24"/>
        </w:rPr>
        <w:t>aterosklerotike kardiovaskulare, pra kur akoma nuk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ka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ndodhur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3"/>
          <w:sz w:val="24"/>
        </w:rPr>
        <w:t>sëmundja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aterosklerotike,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por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risku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ndodhisë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është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lartë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(</w:t>
      </w:r>
      <w:r>
        <w:rPr>
          <w:i/>
          <w:color w:val="221F1F"/>
          <w:sz w:val="24"/>
        </w:rPr>
        <w:t xml:space="preserve">dislipidemi, </w:t>
      </w:r>
      <w:r>
        <w:rPr>
          <w:i/>
          <w:color w:val="221F1F"/>
          <w:sz w:val="24"/>
        </w:rPr>
        <w:t xml:space="preserve">hypertension, duhanpirje, diabet mellitus, obezitet,etj) </w:t>
      </w:r>
      <w:r>
        <w:rPr>
          <w:color w:val="221F1F"/>
          <w:sz w:val="24"/>
        </w:rPr>
        <w:t xml:space="preserve">dhe </w:t>
      </w:r>
      <w:r>
        <w:rPr>
          <w:i/>
          <w:color w:val="221F1F"/>
          <w:sz w:val="24"/>
        </w:rPr>
        <w:t xml:space="preserve">së dyti </w:t>
      </w:r>
      <w:r>
        <w:rPr>
          <w:color w:val="221F1F"/>
          <w:sz w:val="24"/>
        </w:rPr>
        <w:t xml:space="preserve">për parandalimsekondar, pra kur kemi </w:t>
      </w:r>
      <w:r>
        <w:rPr>
          <w:color w:val="221F1F"/>
          <w:spacing w:val="-4"/>
          <w:sz w:val="24"/>
        </w:rPr>
        <w:t xml:space="preserve">një </w:t>
      </w:r>
      <w:r>
        <w:rPr>
          <w:color w:val="221F1F"/>
          <w:spacing w:val="-3"/>
          <w:sz w:val="24"/>
        </w:rPr>
        <w:t xml:space="preserve">sëmundje </w:t>
      </w:r>
      <w:r>
        <w:rPr>
          <w:color w:val="221F1F"/>
          <w:sz w:val="24"/>
        </w:rPr>
        <w:t xml:space="preserve">aterosklerotike të pranishme ose evidente, që ka dhënë </w:t>
      </w:r>
      <w:r>
        <w:rPr>
          <w:color w:val="221F1F"/>
          <w:spacing w:val="-3"/>
          <w:sz w:val="24"/>
        </w:rPr>
        <w:t xml:space="preserve">simptomat </w:t>
      </w:r>
      <w:r>
        <w:rPr>
          <w:color w:val="221F1F"/>
          <w:sz w:val="24"/>
        </w:rPr>
        <w:t xml:space="preserve">si </w:t>
      </w:r>
      <w:r>
        <w:rPr>
          <w:color w:val="221F1F"/>
          <w:spacing w:val="-3"/>
          <w:sz w:val="24"/>
        </w:rPr>
        <w:t xml:space="preserve">p.sh </w:t>
      </w:r>
      <w:r>
        <w:rPr>
          <w:color w:val="221F1F"/>
          <w:sz w:val="24"/>
        </w:rPr>
        <w:t xml:space="preserve">gjendjet </w:t>
      </w:r>
      <w:r>
        <w:rPr>
          <w:color w:val="221F1F"/>
          <w:spacing w:val="-3"/>
          <w:sz w:val="24"/>
        </w:rPr>
        <w:t xml:space="preserve">post-IM, </w:t>
      </w:r>
      <w:r>
        <w:rPr>
          <w:color w:val="221F1F"/>
          <w:sz w:val="24"/>
        </w:rPr>
        <w:t xml:space="preserve">post </w:t>
      </w:r>
      <w:r>
        <w:rPr>
          <w:color w:val="221F1F"/>
          <w:spacing w:val="-3"/>
          <w:sz w:val="24"/>
        </w:rPr>
        <w:t xml:space="preserve">STENT, </w:t>
      </w:r>
      <w:r>
        <w:rPr>
          <w:color w:val="221F1F"/>
          <w:sz w:val="24"/>
        </w:rPr>
        <w:t>post CABG, post insult cerebralishemik, claudikacio intermitens etj</w:t>
      </w:r>
      <w:r>
        <w:rPr>
          <w:color w:val="221F1F"/>
          <w:spacing w:val="-32"/>
          <w:sz w:val="24"/>
        </w:rPr>
        <w:t xml:space="preserve"> </w:t>
      </w:r>
      <w:r>
        <w:rPr>
          <w:color w:val="221F1F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2558"/>
        </w:tabs>
        <w:spacing w:before="268" w:after="0" w:line="288" w:lineRule="exact"/>
        <w:ind w:left="2557" w:right="1835" w:hanging="360"/>
        <w:jc w:val="both"/>
        <w:rPr>
          <w:sz w:val="24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17462</wp:posOffset>
            </wp:positionH>
            <wp:positionV relativeFrom="paragraph">
              <wp:posOffset>817829</wp:posOffset>
            </wp:positionV>
            <wp:extent cx="155575" cy="155575"/>
            <wp:effectExtent l="0" t="0" r="0" b="0"/>
            <wp:wrapNone/>
            <wp:docPr id="207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133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7920367</wp:posOffset>
            </wp:positionH>
            <wp:positionV relativeFrom="paragraph">
              <wp:posOffset>817829</wp:posOffset>
            </wp:positionV>
            <wp:extent cx="155575" cy="155575"/>
            <wp:effectExtent l="0" t="0" r="0" b="0"/>
            <wp:wrapNone/>
            <wp:docPr id="209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116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z w:val="24"/>
        </w:rPr>
        <w:t xml:space="preserve">rëndësinë e dozimit adekuat gjatë përshkrimit të tyre duke marrë në </w:t>
      </w:r>
      <w:r>
        <w:rPr>
          <w:color w:val="221F1F"/>
          <w:spacing w:val="-3"/>
          <w:sz w:val="24"/>
        </w:rPr>
        <w:t xml:space="preserve">konsideratë </w:t>
      </w:r>
      <w:r>
        <w:rPr>
          <w:color w:val="221F1F"/>
          <w:sz w:val="24"/>
        </w:rPr>
        <w:t xml:space="preserve">arritjen e targeteve të dëshiruara, efektet anësore, kundërindikacionet. Ai i </w:t>
      </w:r>
      <w:r>
        <w:rPr>
          <w:color w:val="221F1F"/>
          <w:spacing w:val="3"/>
          <w:sz w:val="24"/>
        </w:rPr>
        <w:t xml:space="preserve">vuri </w:t>
      </w:r>
      <w:r>
        <w:rPr>
          <w:color w:val="221F1F"/>
          <w:sz w:val="24"/>
        </w:rPr>
        <w:t xml:space="preserve">theks  të veçantë përpara fillimit të mjekimit përcaktimit të riskut CV 10-vjeçar nëpërmjet anamnezës për </w:t>
      </w:r>
      <w:r>
        <w:rPr>
          <w:color w:val="221F1F"/>
          <w:spacing w:val="-3"/>
          <w:sz w:val="24"/>
        </w:rPr>
        <w:t xml:space="preserve">sëmundje </w:t>
      </w:r>
      <w:r>
        <w:rPr>
          <w:color w:val="221F1F"/>
          <w:sz w:val="24"/>
        </w:rPr>
        <w:t>muskulare, insuficiencë kardiake, hepatike dhe renale, nivelit të transaminazave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hepatike.</w:t>
      </w:r>
    </w:p>
    <w:p>
      <w:pPr>
        <w:pStyle w:val="BodyText"/>
        <w:spacing w:before="288" w:line="288" w:lineRule="exact"/>
        <w:ind w:left="1837" w:right="1834"/>
        <w:jc w:val="both"/>
      </w:pPr>
      <w:r>
        <w:rPr>
          <w:color w:val="221F1F"/>
          <w:spacing w:val="-3"/>
        </w:rPr>
        <w:t xml:space="preserve">Më </w:t>
      </w:r>
      <w:r>
        <w:rPr>
          <w:color w:val="221F1F"/>
        </w:rPr>
        <w:t xml:space="preserve">pas diskutoi </w:t>
      </w:r>
      <w:r>
        <w:rPr>
          <w:color w:val="221F1F"/>
          <w:spacing w:val="-4"/>
        </w:rPr>
        <w:t xml:space="preserve">Dr. </w:t>
      </w:r>
      <w:r>
        <w:rPr>
          <w:color w:val="221F1F"/>
        </w:rPr>
        <w:t xml:space="preserve">Ilir Balla, i cili theksoi rëndësinë që kanë këto barna për zgjatjen e jetes së </w:t>
      </w:r>
      <w:r>
        <w:rPr>
          <w:color w:val="221F1F"/>
          <w:spacing w:val="-3"/>
        </w:rPr>
        <w:t>pacientëve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duke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ulur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gjasat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për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formimin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pllakave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aterosklerotike,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por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theksoi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në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 xml:space="preserve">kushtet e praktikës së tyre në disa raste është i vështire përcaktimi i riskut CV </w:t>
      </w:r>
      <w:r>
        <w:rPr>
          <w:color w:val="221F1F"/>
          <w:spacing w:val="-3"/>
        </w:rPr>
        <w:t xml:space="preserve">10-vjeçar, </w:t>
      </w:r>
      <w:r>
        <w:rPr>
          <w:color w:val="221F1F"/>
        </w:rPr>
        <w:t>i nivelit të transaminazave si dhe i parametrave të tjerë përpara fillimit të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mjekimit.</w:t>
      </w:r>
    </w:p>
    <w:p>
      <w:pPr>
        <w:pStyle w:val="BodyText"/>
        <w:spacing w:before="288" w:line="288" w:lineRule="exact"/>
        <w:ind w:left="1837" w:right="1834"/>
        <w:jc w:val="both"/>
      </w:pPr>
      <w:r>
        <w:rPr>
          <w:color w:val="221F1F"/>
        </w:rPr>
        <w:t>Takimi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vazhdoi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diskutimin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4"/>
        </w:rPr>
        <w:t xml:space="preserve"> Dr. </w:t>
      </w:r>
      <w:r>
        <w:rPr>
          <w:color w:val="221F1F"/>
        </w:rPr>
        <w:t>Miranda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Caci,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që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perveç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të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tjerave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theksoi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2"/>
        </w:rPr>
        <w:t>ndikimin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që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 xml:space="preserve">ka mjeku specialist (kardiologu) në përshkrimin e këtyre barnave, </w:t>
      </w:r>
      <w:r>
        <w:rPr>
          <w:color w:val="221F1F"/>
          <w:spacing w:val="-3"/>
        </w:rPr>
        <w:t xml:space="preserve">sidomos </w:t>
      </w:r>
      <w:r>
        <w:rPr>
          <w:color w:val="221F1F"/>
        </w:rPr>
        <w:t>në rastet që jepen për parandalim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3"/>
        </w:rPr>
        <w:t>sekondar.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Ndersa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në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dislipidemi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theksoi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përshkrimin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tyre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kur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 xml:space="preserve">kolesteroli&gt;250mg/ </w:t>
      </w:r>
      <w:r>
        <w:rPr>
          <w:color w:val="221F1F"/>
        </w:rPr>
        <w:t>dl.</w:t>
      </w:r>
    </w:p>
    <w:p>
      <w:pPr>
        <w:pStyle w:val="BodyText"/>
        <w:spacing w:before="288" w:line="288" w:lineRule="exact"/>
        <w:ind w:left="1837" w:right="1819"/>
        <w:jc w:val="both"/>
      </w:pPr>
      <w:r>
        <w:rPr>
          <w:color w:val="221F1F"/>
        </w:rPr>
        <w:t>Pastaj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fjalën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mori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4"/>
        </w:rPr>
        <w:t>Dr.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Mira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Hoxha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që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në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mënyrë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të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veçantë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ngriti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problemin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çmimit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të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 xml:space="preserve">barnave në diskutim duke thënë që jemi të </w:t>
      </w:r>
      <w:r>
        <w:rPr>
          <w:color w:val="221F1F"/>
          <w:spacing w:val="2"/>
        </w:rPr>
        <w:t xml:space="preserve">detyruar </w:t>
      </w:r>
      <w:r>
        <w:rPr>
          <w:color w:val="221F1F"/>
        </w:rPr>
        <w:t>të japim alternativën më të lirë sipas protokollit të Fondit.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88" w:lineRule="exact"/>
        <w:ind w:left="1837" w:right="1830"/>
        <w:jc w:val="both"/>
      </w:pPr>
      <w:r>
        <w:rPr>
          <w:color w:val="221F1F"/>
        </w:rPr>
        <w:t xml:space="preserve">Dikutimet vazhduan me Dr.Bruna Doni, që theksoi rëndësinë e dhënies së tyre në praktikën </w:t>
      </w:r>
      <w:r>
        <w:rPr>
          <w:color w:val="221F1F"/>
          <w:spacing w:val="2"/>
        </w:rPr>
        <w:t xml:space="preserve">klinike </w:t>
      </w:r>
      <w:r>
        <w:rPr>
          <w:color w:val="221F1F"/>
          <w:spacing w:val="-3"/>
        </w:rPr>
        <w:t xml:space="preserve">sidomos </w:t>
      </w:r>
      <w:r>
        <w:rPr>
          <w:color w:val="221F1F"/>
        </w:rPr>
        <w:t xml:space="preserve">tek personat që kryejnë </w:t>
      </w:r>
      <w:r>
        <w:rPr>
          <w:color w:val="221F1F"/>
          <w:spacing w:val="2"/>
        </w:rPr>
        <w:t xml:space="preserve">KMB </w:t>
      </w:r>
      <w:r>
        <w:rPr>
          <w:color w:val="221F1F"/>
        </w:rPr>
        <w:t xml:space="preserve">(kontrolli </w:t>
      </w:r>
      <w:r>
        <w:rPr>
          <w:color w:val="221F1F"/>
          <w:spacing w:val="-3"/>
        </w:rPr>
        <w:t xml:space="preserve">mjekësor bazë), </w:t>
      </w:r>
      <w:r>
        <w:rPr>
          <w:color w:val="221F1F"/>
        </w:rPr>
        <w:t xml:space="preserve">pasi </w:t>
      </w:r>
      <w:r>
        <w:rPr>
          <w:color w:val="221F1F"/>
          <w:spacing w:val="-4"/>
        </w:rPr>
        <w:t xml:space="preserve">një </w:t>
      </w:r>
      <w:r>
        <w:rPr>
          <w:color w:val="221F1F"/>
        </w:rPr>
        <w:t xml:space="preserve">numër i lartë i popullatës ka dalë me nivele të larta të </w:t>
      </w:r>
      <w:r>
        <w:rPr>
          <w:color w:val="221F1F"/>
          <w:spacing w:val="-2"/>
        </w:rPr>
        <w:t xml:space="preserve">kolesterolit </w:t>
      </w:r>
      <w:r>
        <w:rPr>
          <w:color w:val="221F1F"/>
        </w:rPr>
        <w:t>dhe triglicerideve në gjak, që përbëjnë rrezik evident për aksidente kardiovaskulare.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88" w:lineRule="exact"/>
        <w:ind w:left="1837" w:right="1835"/>
        <w:jc w:val="both"/>
      </w:pPr>
      <w:r>
        <w:rPr>
          <w:color w:val="221F1F"/>
        </w:rPr>
        <w:t>Dr. Nertila Krasniqi theksoi gjithashtu përveç të tjerash kujdesin që duhet treguar tek mosha e tretë, pasi efektet anësore mund të jenë më të rrezikshme.</w:t>
      </w:r>
    </w:p>
    <w:p>
      <w:pPr>
        <w:spacing w:before="23"/>
        <w:ind w:left="0" w:right="768" w:firstLine="0"/>
        <w:jc w:val="right"/>
        <w:rPr>
          <w:rFonts w:ascii="Lora Medium"/>
          <w:b w:val="0"/>
          <w:sz w:val="24"/>
        </w:rPr>
      </w:pPr>
      <w:r>
        <w:rPr>
          <w:rFonts w:ascii="Calibri"/>
          <w:b/>
          <w:color w:val="393D48"/>
          <w:sz w:val="24"/>
        </w:rPr>
        <w:t>5</w:t>
      </w:r>
      <w:r>
        <w:rPr>
          <w:rFonts w:ascii="Lora Medium"/>
          <w:b w:val="0"/>
          <w:color w:val="393D48"/>
          <w:sz w:val="24"/>
        </w:rPr>
        <w:t>2</w:t>
      </w:r>
    </w:p>
    <w:p>
      <w:pPr>
        <w:spacing w:after="0"/>
        <w:jc w:val="right"/>
        <w:rPr>
          <w:rFonts w:ascii="Lora Medium"/>
          <w:sz w:val="24"/>
        </w:rPr>
        <w:sectPr>
          <w:pgSz w:w="12750" w:h="17680"/>
          <w:pgMar w:top="420" w:right="0" w:bottom="420" w:left="0" w:header="0" w:footer="223"/>
          <w:cols w:space="708"/>
        </w:sectPr>
      </w:pPr>
    </w:p>
    <w:p>
      <w:pPr>
        <w:pStyle w:val="BodyText"/>
        <w:rPr>
          <w:rFonts w:ascii="Lora Medium"/>
          <w:b w:val="0"/>
          <w:sz w:val="20"/>
        </w:rPr>
      </w:pPr>
    </w:p>
    <w:p>
      <w:pPr>
        <w:pStyle w:val="BodyText"/>
        <w:rPr>
          <w:rFonts w:ascii="Lora Medium"/>
          <w:b w:val="0"/>
          <w:sz w:val="20"/>
        </w:rPr>
      </w:pPr>
    </w:p>
    <w:p>
      <w:pPr>
        <w:pStyle w:val="BodyText"/>
        <w:spacing w:before="3"/>
        <w:rPr>
          <w:rFonts w:ascii="Lora Medium"/>
          <w:b w:val="0"/>
          <w:sz w:val="14"/>
        </w:rPr>
      </w:pPr>
    </w:p>
    <w:p>
      <w:pPr>
        <w:spacing w:before="101"/>
        <w:ind w:left="6668" w:right="0" w:firstLine="0"/>
        <w:jc w:val="left"/>
        <w:rPr>
          <w:sz w:val="16"/>
        </w:rPr>
      </w:pPr>
      <w:r>
        <w:pict>
          <v:line id="_x0000_s1027" style="mso-position-horizontal-relative:page;mso-wrap-distance-left:0;mso-wrap-distance-right:0;position:absolute;z-index:251664384" from="295.7pt,18.65pt" to="545.4pt,18.65pt" stroked="t" strokecolor="#f7941d" strokeweight="0.5pt">
            <v:stroke dashstyle="solid"/>
            <w10:wrap type="topAndBottom"/>
          </v:line>
        </w:pict>
      </w:r>
      <w:r>
        <w:rPr>
          <w:color w:val="3A3F49"/>
          <w:sz w:val="16"/>
        </w:rPr>
        <w:t>Një udhëzues për të mbështetur ngritjen dhe funksionimin e  GK</w:t>
      </w:r>
    </w:p>
    <w:p>
      <w:pPr>
        <w:pStyle w:val="BodyText"/>
        <w:spacing w:before="139" w:line="288" w:lineRule="exact"/>
        <w:ind w:left="1837" w:right="1834"/>
        <w:jc w:val="both"/>
      </w:pPr>
      <w:r>
        <w:rPr>
          <w:color w:val="221F1F"/>
        </w:rPr>
        <w:t>Dr. Alma Rama si mjeke e re, tregoi mekanizmin e veprimit të barnave hipolipidemike, duke u ndalur më shumë te grupi i statinave, që frenojnë enzimen HMG-reduktazë, e cila merr pjesë në sintezën e kolesterolit në organizëm.</w:t>
      </w:r>
    </w:p>
    <w:p>
      <w:pPr>
        <w:pStyle w:val="BodyText"/>
        <w:spacing w:before="12"/>
        <w:rPr>
          <w:sz w:val="38"/>
        </w:rPr>
      </w:pPr>
    </w:p>
    <w:p>
      <w:pPr>
        <w:pStyle w:val="Heading4"/>
        <w:ind w:left="1837"/>
        <w:jc w:val="both"/>
      </w:pPr>
      <w:r>
        <w:rPr>
          <w:color w:val="221F1F"/>
        </w:rPr>
        <w:t>Konkluzionet</w:t>
      </w:r>
    </w:p>
    <w:p>
      <w:pPr>
        <w:pStyle w:val="ListParagraph"/>
        <w:numPr>
          <w:ilvl w:val="0"/>
          <w:numId w:val="2"/>
        </w:numPr>
        <w:tabs>
          <w:tab w:val="left" w:pos="2558"/>
        </w:tabs>
        <w:spacing w:before="259" w:after="0" w:line="288" w:lineRule="exact"/>
        <w:ind w:left="2557" w:right="1833" w:hanging="360"/>
        <w:jc w:val="left"/>
        <w:rPr>
          <w:sz w:val="24"/>
        </w:rPr>
      </w:pPr>
      <w:r>
        <w:rPr>
          <w:color w:val="221F1F"/>
          <w:sz w:val="24"/>
        </w:rPr>
        <w:t xml:space="preserve">Bari që përshkruhet më shpesh nga anëtarët e grupit është Atorvastatina, pas saj Simvastatina dhe Fluvastatina, </w:t>
      </w:r>
      <w:r>
        <w:rPr>
          <w:color w:val="221F1F"/>
          <w:spacing w:val="-3"/>
          <w:sz w:val="24"/>
        </w:rPr>
        <w:t xml:space="preserve">siç </w:t>
      </w:r>
      <w:r>
        <w:rPr>
          <w:color w:val="221F1F"/>
          <w:sz w:val="24"/>
        </w:rPr>
        <w:t>e jep dhe tabela e</w:t>
      </w:r>
      <w:r>
        <w:rPr>
          <w:color w:val="221F1F"/>
          <w:spacing w:val="-17"/>
          <w:sz w:val="24"/>
        </w:rPr>
        <w:t xml:space="preserve"> </w:t>
      </w:r>
      <w:r>
        <w:rPr>
          <w:color w:val="221F1F"/>
          <w:sz w:val="24"/>
        </w:rPr>
        <w:t>mëposhtme:</w:t>
      </w:r>
    </w:p>
    <w:p>
      <w:pPr>
        <w:pStyle w:val="BodyText"/>
        <w:rPr>
          <w:sz w:val="26"/>
        </w:rPr>
      </w:pPr>
    </w:p>
    <w:tbl>
      <w:tblPr>
        <w:tblStyle w:val="TableNormal"/>
        <w:tblW w:w="0" w:type="auto"/>
        <w:jc w:val="left"/>
        <w:tblInd w:w="18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1510"/>
        <w:gridCol w:w="1510"/>
        <w:gridCol w:w="1510"/>
        <w:gridCol w:w="1510"/>
        <w:gridCol w:w="1510"/>
      </w:tblGrid>
      <w:tr>
        <w:tblPrEx>
          <w:tblW w:w="0" w:type="auto"/>
          <w:jc w:val="left"/>
          <w:tblInd w:w="1837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656"/>
          <w:jc w:val="left"/>
        </w:trPr>
        <w:tc>
          <w:tcPr>
            <w:tcW w:w="1513" w:type="dxa"/>
            <w:tcBorders>
              <w:top w:val="nil"/>
              <w:left w:val="nil"/>
              <w:bottom w:val="nil"/>
            </w:tcBorders>
            <w:shd w:val="clear" w:color="auto" w:fill="00A4C0"/>
          </w:tcPr>
          <w:p>
            <w:pPr>
              <w:pStyle w:val="TableParagraph"/>
              <w:spacing w:before="67" w:line="264" w:lineRule="exact"/>
              <w:ind w:left="439" w:right="222" w:hanging="19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22"/>
              </w:rPr>
              <w:t>Anëtarët e Grupit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clear" w:color="auto" w:fill="00A4C0"/>
          </w:tcPr>
          <w:p>
            <w:pPr>
              <w:pStyle w:val="TableParagraph"/>
              <w:spacing w:before="67" w:line="264" w:lineRule="exact"/>
              <w:ind w:left="556" w:hanging="32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05"/>
                <w:sz w:val="22"/>
              </w:rPr>
              <w:t>Atorvasta- tine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clear" w:color="auto" w:fill="00A4C0"/>
          </w:tcPr>
          <w:p>
            <w:pPr>
              <w:pStyle w:val="TableParagraph"/>
              <w:spacing w:before="201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10"/>
                <w:sz w:val="22"/>
              </w:rPr>
              <w:t>Simvastatine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clear" w:color="auto" w:fill="00A4C0"/>
          </w:tcPr>
          <w:p>
            <w:pPr>
              <w:pStyle w:val="TableParagraph"/>
              <w:spacing w:before="201"/>
              <w:ind w:left="14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10"/>
                <w:sz w:val="22"/>
              </w:rPr>
              <w:t>Fluvastatine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clear" w:color="auto" w:fill="00A4C0"/>
          </w:tcPr>
          <w:p>
            <w:pPr>
              <w:pStyle w:val="TableParagraph"/>
              <w:spacing w:before="201"/>
              <w:ind w:left="18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10"/>
                <w:sz w:val="22"/>
              </w:rPr>
              <w:t>Fenofibrate</w:t>
            </w:r>
          </w:p>
        </w:tc>
        <w:tc>
          <w:tcPr>
            <w:tcW w:w="1510" w:type="dxa"/>
            <w:tcBorders>
              <w:top w:val="nil"/>
              <w:bottom w:val="nil"/>
              <w:right w:val="nil"/>
            </w:tcBorders>
            <w:shd w:val="clear" w:color="auto" w:fill="00A4C0"/>
          </w:tcPr>
          <w:p>
            <w:pPr>
              <w:pStyle w:val="TableParagraph"/>
              <w:spacing w:before="201"/>
              <w:ind w:left="15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10"/>
                <w:sz w:val="22"/>
              </w:rPr>
              <w:t>Ciprofibrate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1"/>
          <w:jc w:val="left"/>
        </w:trPr>
        <w:tc>
          <w:tcPr>
            <w:tcW w:w="1513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Ervis Tola</w:t>
            </w:r>
          </w:p>
        </w:tc>
        <w:tc>
          <w:tcPr>
            <w:tcW w:w="151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11 raste</w:t>
            </w:r>
          </w:p>
        </w:tc>
        <w:tc>
          <w:tcPr>
            <w:tcW w:w="151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7 raste</w:t>
            </w:r>
          </w:p>
        </w:tc>
        <w:tc>
          <w:tcPr>
            <w:tcW w:w="151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  <w:tc>
          <w:tcPr>
            <w:tcW w:w="151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  <w:tc>
          <w:tcPr>
            <w:tcW w:w="151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1 rast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1"/>
          <w:jc w:val="left"/>
        </w:trPr>
        <w:tc>
          <w:tcPr>
            <w:tcW w:w="151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Ilir Balla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7 raste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1 rast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1 rast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1"/>
          <w:jc w:val="left"/>
        </w:trPr>
        <w:tc>
          <w:tcPr>
            <w:tcW w:w="151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Mira Hoxha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5 raste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5 raste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1 rast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689"/>
          <w:jc w:val="left"/>
        </w:trPr>
        <w:tc>
          <w:tcPr>
            <w:tcW w:w="151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52" w:line="288" w:lineRule="exact"/>
              <w:ind w:left="108" w:right="147"/>
              <w:rPr>
                <w:sz w:val="24"/>
              </w:rPr>
            </w:pPr>
            <w:r>
              <w:rPr>
                <w:color w:val="231F20"/>
                <w:sz w:val="24"/>
              </w:rPr>
              <w:t>Miranda Caci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7 raste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2 raste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1"/>
          <w:jc w:val="left"/>
        </w:trPr>
        <w:tc>
          <w:tcPr>
            <w:tcW w:w="151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Bruna Doni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7 raste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4 raste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2 raste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01"/>
          <w:jc w:val="left"/>
        </w:trPr>
        <w:tc>
          <w:tcPr>
            <w:tcW w:w="151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Alma Rama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6 raste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2 raste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1 rast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2 raste</w:t>
            </w:r>
          </w:p>
        </w:tc>
        <w:tc>
          <w:tcPr>
            <w:tcW w:w="151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/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val="left" w:pos="2558"/>
        </w:tabs>
        <w:spacing w:before="284" w:after="0" w:line="288" w:lineRule="exact"/>
        <w:ind w:left="2557" w:right="1834" w:hanging="360"/>
        <w:jc w:val="both"/>
        <w:rPr>
          <w:sz w:val="24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17462</wp:posOffset>
            </wp:positionH>
            <wp:positionV relativeFrom="paragraph">
              <wp:posOffset>254990</wp:posOffset>
            </wp:positionV>
            <wp:extent cx="155575" cy="155575"/>
            <wp:effectExtent l="0" t="0" r="0" b="0"/>
            <wp:wrapNone/>
            <wp:docPr id="211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133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7920367</wp:posOffset>
            </wp:positionH>
            <wp:positionV relativeFrom="paragraph">
              <wp:posOffset>254990</wp:posOffset>
            </wp:positionV>
            <wp:extent cx="155575" cy="155575"/>
            <wp:effectExtent l="0" t="0" r="0" b="0"/>
            <wp:wrapNone/>
            <wp:docPr id="213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116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pacing w:val="-3"/>
          <w:sz w:val="24"/>
        </w:rPr>
        <w:t>Në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praktikën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tyre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shumica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anëtarëve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të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grupit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nuk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pacing w:val="-3"/>
          <w:sz w:val="24"/>
        </w:rPr>
        <w:t>ndajnë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indikacionet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në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2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 xml:space="preserve">kategoritë kryesore (parandalim primar dhe </w:t>
      </w:r>
      <w:r>
        <w:rPr>
          <w:color w:val="221F1F"/>
          <w:spacing w:val="-3"/>
          <w:sz w:val="24"/>
        </w:rPr>
        <w:t xml:space="preserve">sekondar), </w:t>
      </w:r>
      <w:r>
        <w:rPr>
          <w:color w:val="221F1F"/>
          <w:sz w:val="24"/>
        </w:rPr>
        <w:t>por mjaftoheshin me përshkrimin e tyre thjesht për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dislipidemi.</w:t>
      </w:r>
    </w:p>
    <w:p>
      <w:pPr>
        <w:pStyle w:val="ListParagraph"/>
        <w:numPr>
          <w:ilvl w:val="0"/>
          <w:numId w:val="2"/>
        </w:numPr>
        <w:tabs>
          <w:tab w:val="left" w:pos="2558"/>
        </w:tabs>
        <w:spacing w:before="0" w:after="0" w:line="288" w:lineRule="exact"/>
        <w:ind w:left="2557" w:right="1834" w:hanging="360"/>
        <w:jc w:val="left"/>
        <w:rPr>
          <w:sz w:val="24"/>
        </w:rPr>
      </w:pPr>
      <w:r>
        <w:rPr>
          <w:color w:val="221F1F"/>
          <w:sz w:val="24"/>
        </w:rPr>
        <w:t xml:space="preserve">Nuk merret parasysh llogaritja e riskut CV 10-vjeçar për rastet kur </w:t>
      </w:r>
      <w:r>
        <w:rPr>
          <w:color w:val="221F1F"/>
          <w:spacing w:val="-3"/>
          <w:sz w:val="24"/>
        </w:rPr>
        <w:t xml:space="preserve">përdoren </w:t>
      </w:r>
      <w:r>
        <w:rPr>
          <w:color w:val="221F1F"/>
          <w:sz w:val="24"/>
        </w:rPr>
        <w:t>për parandalim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primar.</w:t>
      </w:r>
    </w:p>
    <w:p>
      <w:pPr>
        <w:pStyle w:val="ListParagraph"/>
        <w:numPr>
          <w:ilvl w:val="0"/>
          <w:numId w:val="2"/>
        </w:numPr>
        <w:tabs>
          <w:tab w:val="left" w:pos="2558"/>
        </w:tabs>
        <w:spacing w:before="0" w:after="0" w:line="299" w:lineRule="exact"/>
        <w:ind w:left="2557" w:right="0" w:hanging="360"/>
        <w:jc w:val="left"/>
        <w:rPr>
          <w:sz w:val="24"/>
        </w:rPr>
      </w:pPr>
      <w:r>
        <w:rPr>
          <w:color w:val="221F1F"/>
          <w:sz w:val="24"/>
        </w:rPr>
        <w:t>Nuk ndiqet në praktikë monitorimi i transaminazave hepatike dhe CK.</w:t>
      </w:r>
    </w:p>
    <w:p>
      <w:pPr>
        <w:pStyle w:val="ListParagraph"/>
        <w:numPr>
          <w:ilvl w:val="0"/>
          <w:numId w:val="2"/>
        </w:numPr>
        <w:tabs>
          <w:tab w:val="left" w:pos="2558"/>
        </w:tabs>
        <w:spacing w:before="8" w:after="0" w:line="213" w:lineRule="auto"/>
        <w:ind w:left="2557" w:right="1836" w:hanging="360"/>
        <w:jc w:val="left"/>
        <w:rPr>
          <w:sz w:val="24"/>
        </w:rPr>
      </w:pPr>
      <w:r>
        <w:rPr>
          <w:color w:val="221F1F"/>
          <w:sz w:val="24"/>
        </w:rPr>
        <w:t xml:space="preserve">Ndiqet në praktikë monitorimi i efektit të tyre </w:t>
      </w:r>
      <w:r>
        <w:rPr>
          <w:color w:val="221F1F"/>
          <w:spacing w:val="-3"/>
          <w:sz w:val="24"/>
        </w:rPr>
        <w:t xml:space="preserve">n.p.m </w:t>
      </w:r>
      <w:r>
        <w:rPr>
          <w:color w:val="221F1F"/>
          <w:sz w:val="24"/>
        </w:rPr>
        <w:t>lipidogramës, por jo shumë rigorozisht.</w:t>
      </w:r>
    </w:p>
    <w:p>
      <w:pPr>
        <w:pStyle w:val="ListParagraph"/>
        <w:numPr>
          <w:ilvl w:val="0"/>
          <w:numId w:val="2"/>
        </w:numPr>
        <w:tabs>
          <w:tab w:val="left" w:pos="2558"/>
        </w:tabs>
        <w:spacing w:before="0" w:after="0" w:line="213" w:lineRule="auto"/>
        <w:ind w:left="2557" w:right="1834" w:hanging="360"/>
        <w:jc w:val="left"/>
        <w:rPr>
          <w:sz w:val="24"/>
        </w:rPr>
      </w:pPr>
      <w:r>
        <w:rPr>
          <w:color w:val="221F1F"/>
          <w:spacing w:val="-4"/>
          <w:sz w:val="24"/>
        </w:rPr>
        <w:t xml:space="preserve">Për </w:t>
      </w:r>
      <w:r>
        <w:rPr>
          <w:color w:val="221F1F"/>
          <w:spacing w:val="2"/>
          <w:sz w:val="24"/>
        </w:rPr>
        <w:t xml:space="preserve">fillimin </w:t>
      </w:r>
      <w:r>
        <w:rPr>
          <w:color w:val="221F1F"/>
          <w:sz w:val="24"/>
        </w:rPr>
        <w:t xml:space="preserve">e mjekimit </w:t>
      </w:r>
      <w:r>
        <w:rPr>
          <w:color w:val="221F1F"/>
          <w:spacing w:val="-3"/>
          <w:sz w:val="24"/>
        </w:rPr>
        <w:t xml:space="preserve">përdoret </w:t>
      </w:r>
      <w:r>
        <w:rPr>
          <w:color w:val="221F1F"/>
          <w:sz w:val="24"/>
        </w:rPr>
        <w:t xml:space="preserve">si kriter kolesteroli </w:t>
      </w:r>
      <w:r>
        <w:rPr>
          <w:color w:val="221F1F"/>
          <w:spacing w:val="-3"/>
          <w:sz w:val="24"/>
        </w:rPr>
        <w:t xml:space="preserve">&gt;250mg/dl </w:t>
      </w:r>
      <w:r>
        <w:rPr>
          <w:color w:val="221F1F"/>
          <w:sz w:val="24"/>
        </w:rPr>
        <w:t xml:space="preserve">dhe TG </w:t>
      </w:r>
      <w:r>
        <w:rPr>
          <w:color w:val="221F1F"/>
          <w:spacing w:val="-4"/>
          <w:sz w:val="24"/>
        </w:rPr>
        <w:t xml:space="preserve">&gt;150mg/dl, </w:t>
      </w:r>
      <w:r>
        <w:rPr>
          <w:color w:val="221F1F"/>
          <w:sz w:val="24"/>
        </w:rPr>
        <w:t xml:space="preserve">por nuk </w:t>
      </w:r>
      <w:r>
        <w:rPr>
          <w:color w:val="221F1F"/>
          <w:spacing w:val="-3"/>
          <w:sz w:val="24"/>
        </w:rPr>
        <w:t xml:space="preserve">vendosej </w:t>
      </w:r>
      <w:r>
        <w:rPr>
          <w:color w:val="221F1F"/>
          <w:spacing w:val="-4"/>
          <w:sz w:val="24"/>
        </w:rPr>
        <w:t xml:space="preserve">një </w:t>
      </w:r>
      <w:r>
        <w:rPr>
          <w:color w:val="221F1F"/>
          <w:sz w:val="24"/>
        </w:rPr>
        <w:t>vlerë target që synohej të arrihej pas fillimit të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mjekimit.</w:t>
      </w:r>
    </w:p>
    <w:p>
      <w:pPr>
        <w:pStyle w:val="Heading4"/>
        <w:spacing w:before="253"/>
        <w:ind w:left="1837"/>
      </w:pPr>
      <w:r>
        <w:rPr>
          <w:color w:val="221F1F"/>
        </w:rPr>
        <w:t>Objektivat deri në takimin tjetër</w:t>
      </w:r>
    </w:p>
    <w:p>
      <w:pPr>
        <w:pStyle w:val="ListParagraph"/>
        <w:numPr>
          <w:ilvl w:val="0"/>
          <w:numId w:val="3"/>
        </w:numPr>
        <w:tabs>
          <w:tab w:val="left" w:pos="2558"/>
        </w:tabs>
        <w:spacing w:before="259" w:after="0" w:line="288" w:lineRule="exact"/>
        <w:ind w:left="2557" w:right="1835" w:hanging="360"/>
        <w:jc w:val="left"/>
        <w:rPr>
          <w:sz w:val="24"/>
        </w:rPr>
      </w:pPr>
      <w:r>
        <w:rPr>
          <w:color w:val="221F1F"/>
          <w:spacing w:val="-3"/>
          <w:sz w:val="24"/>
        </w:rPr>
        <w:t xml:space="preserve">Të </w:t>
      </w:r>
      <w:r>
        <w:rPr>
          <w:color w:val="221F1F"/>
          <w:sz w:val="24"/>
        </w:rPr>
        <w:t xml:space="preserve">përcaktojmë qartë objektivat e përshkrimit d.m.th për parandalim primar ose </w:t>
      </w:r>
      <w:r>
        <w:rPr>
          <w:color w:val="221F1F"/>
          <w:spacing w:val="-3"/>
          <w:sz w:val="24"/>
        </w:rPr>
        <w:t>sekondar.</w:t>
      </w:r>
    </w:p>
    <w:p>
      <w:pPr>
        <w:pStyle w:val="ListParagraph"/>
        <w:numPr>
          <w:ilvl w:val="0"/>
          <w:numId w:val="3"/>
        </w:numPr>
        <w:tabs>
          <w:tab w:val="left" w:pos="2558"/>
        </w:tabs>
        <w:spacing w:before="0" w:after="0" w:line="288" w:lineRule="exact"/>
        <w:ind w:left="2557" w:right="1836" w:hanging="360"/>
        <w:jc w:val="left"/>
        <w:rPr>
          <w:sz w:val="24"/>
        </w:rPr>
      </w:pPr>
      <w:r>
        <w:rPr>
          <w:color w:val="221F1F"/>
          <w:spacing w:val="-3"/>
          <w:sz w:val="24"/>
        </w:rPr>
        <w:t xml:space="preserve">Të </w:t>
      </w:r>
      <w:r>
        <w:rPr>
          <w:color w:val="221F1F"/>
          <w:sz w:val="24"/>
        </w:rPr>
        <w:t xml:space="preserve">vendosim si kriter përcaktimin e riskut CV </w:t>
      </w:r>
      <w:r>
        <w:rPr>
          <w:color w:val="221F1F"/>
          <w:spacing w:val="-3"/>
          <w:sz w:val="24"/>
        </w:rPr>
        <w:t xml:space="preserve">10-vjeçar, </w:t>
      </w:r>
      <w:r>
        <w:rPr>
          <w:color w:val="221F1F"/>
          <w:sz w:val="24"/>
        </w:rPr>
        <w:t>në rastet kur përshkruhen për parandalim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primar.</w:t>
      </w:r>
    </w:p>
    <w:p>
      <w:pPr>
        <w:pStyle w:val="ListParagraph"/>
        <w:numPr>
          <w:ilvl w:val="0"/>
          <w:numId w:val="3"/>
        </w:numPr>
        <w:tabs>
          <w:tab w:val="left" w:pos="2558"/>
        </w:tabs>
        <w:spacing w:before="0" w:after="0" w:line="299" w:lineRule="exact"/>
        <w:ind w:left="2557" w:right="0" w:hanging="360"/>
        <w:jc w:val="left"/>
        <w:rPr>
          <w:sz w:val="24"/>
        </w:rPr>
      </w:pPr>
      <w:r>
        <w:rPr>
          <w:color w:val="221F1F"/>
          <w:spacing w:val="-3"/>
          <w:sz w:val="24"/>
        </w:rPr>
        <w:t xml:space="preserve">Të </w:t>
      </w:r>
      <w:r>
        <w:rPr>
          <w:color w:val="221F1F"/>
          <w:sz w:val="24"/>
        </w:rPr>
        <w:t>përcaktojmë targetet e dëshiruara me mjekimin me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z w:val="24"/>
        </w:rPr>
        <w:t>hipolipidemikë.</w:t>
      </w:r>
    </w:p>
    <w:p>
      <w:pPr>
        <w:pStyle w:val="ListParagraph"/>
        <w:numPr>
          <w:ilvl w:val="0"/>
          <w:numId w:val="3"/>
        </w:numPr>
        <w:tabs>
          <w:tab w:val="left" w:pos="2558"/>
        </w:tabs>
        <w:spacing w:before="0" w:after="0" w:line="306" w:lineRule="exact"/>
        <w:ind w:left="2557" w:right="0" w:hanging="360"/>
        <w:jc w:val="left"/>
        <w:rPr>
          <w:sz w:val="24"/>
        </w:rPr>
      </w:pPr>
      <w:r>
        <w:rPr>
          <w:color w:val="221F1F"/>
          <w:spacing w:val="-3"/>
          <w:sz w:val="24"/>
        </w:rPr>
        <w:t xml:space="preserve">Të </w:t>
      </w:r>
      <w:r>
        <w:rPr>
          <w:color w:val="221F1F"/>
          <w:sz w:val="24"/>
        </w:rPr>
        <w:t>vlerësojmë efektet anësore dhe kundërindikacionet përpara fillimit të</w:t>
      </w:r>
      <w:r>
        <w:rPr>
          <w:color w:val="221F1F"/>
          <w:spacing w:val="-28"/>
          <w:sz w:val="24"/>
        </w:rPr>
        <w:t xml:space="preserve"> </w:t>
      </w:r>
      <w:r>
        <w:rPr>
          <w:color w:val="221F1F"/>
          <w:sz w:val="24"/>
        </w:rPr>
        <w:t>mjekimit.</w:t>
      </w:r>
    </w:p>
    <w:p>
      <w:pPr>
        <w:pStyle w:val="BodyText"/>
        <w:spacing w:before="252"/>
        <w:ind w:left="1837"/>
      </w:pPr>
      <w:r>
        <w:rPr>
          <w:color w:val="221F1F"/>
        </w:rPr>
        <w:t>Në takimin tjetër:</w:t>
      </w:r>
    </w:p>
    <w:p>
      <w:pPr>
        <w:pStyle w:val="ListParagraph"/>
        <w:numPr>
          <w:ilvl w:val="0"/>
          <w:numId w:val="4"/>
        </w:numPr>
        <w:tabs>
          <w:tab w:val="left" w:pos="2558"/>
        </w:tabs>
        <w:spacing w:before="252" w:after="0" w:line="306" w:lineRule="exact"/>
        <w:ind w:left="2557" w:right="0" w:hanging="360"/>
        <w:jc w:val="left"/>
        <w:rPr>
          <w:sz w:val="24"/>
        </w:rPr>
      </w:pPr>
      <w:r>
        <w:rPr>
          <w:color w:val="221F1F"/>
          <w:spacing w:val="-3"/>
          <w:sz w:val="24"/>
        </w:rPr>
        <w:t xml:space="preserve">Të </w:t>
      </w:r>
      <w:r>
        <w:rPr>
          <w:color w:val="221F1F"/>
          <w:sz w:val="24"/>
        </w:rPr>
        <w:t xml:space="preserve">sjellim për diskutim raste të reja, psh nga Kontrolli </w:t>
      </w:r>
      <w:r>
        <w:rPr>
          <w:color w:val="221F1F"/>
          <w:spacing w:val="-3"/>
          <w:sz w:val="24"/>
        </w:rPr>
        <w:t>Mjekësor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Bazë.</w:t>
      </w:r>
    </w:p>
    <w:p>
      <w:pPr>
        <w:pStyle w:val="ListParagraph"/>
        <w:numPr>
          <w:ilvl w:val="0"/>
          <w:numId w:val="4"/>
        </w:numPr>
        <w:tabs>
          <w:tab w:val="left" w:pos="2558"/>
        </w:tabs>
        <w:spacing w:before="0" w:after="0" w:line="288" w:lineRule="exact"/>
        <w:ind w:left="2557" w:right="0" w:hanging="360"/>
        <w:jc w:val="left"/>
        <w:rPr>
          <w:sz w:val="24"/>
        </w:rPr>
      </w:pPr>
      <w:r>
        <w:rPr>
          <w:color w:val="221F1F"/>
          <w:spacing w:val="-4"/>
          <w:sz w:val="24"/>
        </w:rPr>
        <w:t>Tabela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z w:val="24"/>
        </w:rPr>
        <w:t>auditit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pacing w:val="3"/>
          <w:sz w:val="24"/>
        </w:rPr>
        <w:t>klinik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z w:val="24"/>
        </w:rPr>
        <w:t>për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z w:val="24"/>
        </w:rPr>
        <w:t>plotësim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nga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z w:val="24"/>
        </w:rPr>
        <w:t>data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pacing w:val="-6"/>
          <w:sz w:val="24"/>
        </w:rPr>
        <w:t>10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pacing w:val="-4"/>
          <w:sz w:val="24"/>
        </w:rPr>
        <w:t>qershor-20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pacing w:val="-3"/>
          <w:sz w:val="24"/>
        </w:rPr>
        <w:t>qershor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pacing w:val="-7"/>
          <w:sz w:val="24"/>
        </w:rPr>
        <w:t>2016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z w:val="24"/>
        </w:rPr>
        <w:t>dhe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z w:val="24"/>
        </w:rPr>
        <w:t>për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z w:val="24"/>
        </w:rPr>
        <w:t>diskutim</w:t>
      </w:r>
    </w:p>
    <w:p>
      <w:pPr>
        <w:pStyle w:val="BodyText"/>
        <w:tabs>
          <w:tab w:val="left" w:pos="2557"/>
        </w:tabs>
        <w:spacing w:line="364" w:lineRule="exact"/>
        <w:ind w:left="864"/>
      </w:pPr>
      <w:r>
        <w:rPr>
          <w:rFonts w:ascii="Calibri" w:hAnsi="Calibri"/>
          <w:b/>
          <w:color w:val="393D48"/>
          <w:spacing w:val="-4"/>
          <w:position w:val="-7"/>
        </w:rPr>
        <w:t>53</w:t>
        <w:tab/>
      </w:r>
      <w:r>
        <w:rPr>
          <w:color w:val="221F1F"/>
        </w:rPr>
        <w:t xml:space="preserve">në </w:t>
      </w:r>
      <w:r>
        <w:rPr>
          <w:color w:val="221F1F"/>
          <w:spacing w:val="3"/>
        </w:rPr>
        <w:t xml:space="preserve">takimin </w:t>
      </w:r>
      <w:r>
        <w:rPr>
          <w:color w:val="221F1F"/>
          <w:spacing w:val="-3"/>
        </w:rPr>
        <w:t xml:space="preserve">tjetër, </w:t>
      </w:r>
      <w:r>
        <w:rPr>
          <w:color w:val="221F1F"/>
        </w:rPr>
        <w:t>të jetë si më</w:t>
      </w:r>
      <w:r>
        <w:rPr>
          <w:color w:val="221F1F"/>
          <w:spacing w:val="-28"/>
        </w:rPr>
        <w:t xml:space="preserve"> </w:t>
      </w:r>
      <w:r>
        <w:rPr>
          <w:color w:val="221F1F"/>
        </w:rPr>
        <w:t>poshtë:</w:t>
      </w:r>
    </w:p>
    <w:p>
      <w:pPr>
        <w:spacing w:after="0" w:line="364" w:lineRule="exact"/>
        <w:sectPr>
          <w:pgSz w:w="12750" w:h="17680"/>
          <w:pgMar w:top="420" w:right="0" w:bottom="420" w:left="0" w:header="0" w:footer="223"/>
          <w:cols w:space="70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100"/>
        <w:ind w:left="1837" w:right="0" w:firstLine="0"/>
        <w:jc w:val="left"/>
        <w:rPr>
          <w:sz w:val="16"/>
        </w:rPr>
      </w:pPr>
      <w:r>
        <w:pict>
          <v:line id="_x0000_s1028" style="mso-position-horizontal-relative:page;mso-wrap-distance-left:0;mso-wrap-distance-right:0;position:absolute;z-index:251667456" from="91.85pt,18.6pt" to="425.8pt,18.6pt" stroked="t" strokecolor="#f7941d" strokeweight="0.5pt">
            <v:stroke dashstyle="solid"/>
            <w10:wrap type="topAndBottom"/>
          </v:line>
        </w:pict>
      </w:r>
      <w:r>
        <w:rPr>
          <w:color w:val="3A3F49"/>
          <w:sz w:val="16"/>
        </w:rPr>
        <w:t>Grupet e Kolegëve (GK) - Formë e Edukimit në Vazhdim të Profesionistëve të  Shëndetësisë</w:t>
      </w:r>
    </w:p>
    <w:p>
      <w:pPr>
        <w:pStyle w:val="BodyText"/>
        <w:spacing w:before="11"/>
        <w:rPr>
          <w:sz w:val="14"/>
        </w:rPr>
      </w:pPr>
    </w:p>
    <w:tbl>
      <w:tblPr>
        <w:tblStyle w:val="TableNormal"/>
        <w:tblW w:w="0" w:type="auto"/>
        <w:jc w:val="left"/>
        <w:tblInd w:w="18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868"/>
        <w:gridCol w:w="868"/>
        <w:gridCol w:w="2340"/>
        <w:gridCol w:w="1373"/>
        <w:gridCol w:w="1373"/>
        <w:gridCol w:w="1373"/>
      </w:tblGrid>
      <w:tr>
        <w:tblPrEx>
          <w:tblW w:w="0" w:type="auto"/>
          <w:jc w:val="left"/>
          <w:tblInd w:w="1837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542"/>
          <w:jc w:val="left"/>
        </w:trPr>
        <w:tc>
          <w:tcPr>
            <w:tcW w:w="868" w:type="dxa"/>
            <w:vMerge w:val="restart"/>
            <w:tcBorders>
              <w:top w:val="nil"/>
              <w:left w:val="nil"/>
            </w:tcBorders>
            <w:shd w:val="clear" w:color="auto" w:fill="00A4C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296" w:right="29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05"/>
                <w:sz w:val="22"/>
              </w:rPr>
              <w:t>Nr</w:t>
            </w: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00A4C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3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10"/>
                <w:sz w:val="22"/>
              </w:rPr>
              <w:t>Gjinia</w:t>
            </w:r>
          </w:p>
        </w:tc>
        <w:tc>
          <w:tcPr>
            <w:tcW w:w="868" w:type="dxa"/>
            <w:vMerge w:val="restart"/>
            <w:tcBorders>
              <w:top w:val="nil"/>
            </w:tcBorders>
            <w:shd w:val="clear" w:color="auto" w:fill="00A4C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0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05"/>
                <w:sz w:val="22"/>
              </w:rPr>
              <w:t>Mosha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00A4C0"/>
          </w:tcPr>
          <w:p>
            <w:pPr>
              <w:pStyle w:val="TableParagraph"/>
              <w:spacing w:before="144"/>
              <w:ind w:left="9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22"/>
              </w:rPr>
              <w:t>Arsyeja  e përshkrimit</w:t>
            </w:r>
          </w:p>
        </w:tc>
        <w:tc>
          <w:tcPr>
            <w:tcW w:w="1373" w:type="dxa"/>
            <w:vMerge w:val="restart"/>
            <w:tcBorders>
              <w:top w:val="nil"/>
            </w:tcBorders>
            <w:shd w:val="clear" w:color="auto" w:fill="00A4C0"/>
          </w:tcPr>
          <w:p>
            <w:pPr>
              <w:pStyle w:val="TableParagraph"/>
              <w:spacing w:before="17" w:line="264" w:lineRule="exact"/>
              <w:ind w:left="90" w:right="8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10"/>
                <w:sz w:val="22"/>
              </w:rPr>
              <w:t>Hipolipide- miket</w:t>
            </w:r>
            <w:r>
              <w:rPr>
                <w:rFonts w:ascii="Calibri"/>
                <w:b/>
                <w:color w:val="FFFFFF"/>
                <w:spacing w:val="51"/>
                <w:w w:val="110"/>
                <w:sz w:val="22"/>
              </w:rPr>
              <w:t xml:space="preserve"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(she-</w:t>
            </w:r>
            <w:r>
              <w:rPr>
                <w:rFonts w:ascii="Calibri"/>
                <w:b/>
                <w:color w:val="FFFFFF"/>
                <w:w w:val="105"/>
                <w:sz w:val="22"/>
              </w:rPr>
              <w:t xml:space="preserve"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no emrin e barit dhe dozen di- tore)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00A4C0"/>
          </w:tcPr>
          <w:p>
            <w:pPr>
              <w:pStyle w:val="TableParagraph"/>
              <w:spacing w:before="144"/>
              <w:ind w:left="5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10"/>
                <w:sz w:val="22"/>
              </w:rPr>
              <w:t>Lipidograma</w:t>
            </w:r>
          </w:p>
        </w:tc>
        <w:tc>
          <w:tcPr>
            <w:tcW w:w="1373" w:type="dxa"/>
            <w:tcBorders>
              <w:top w:val="nil"/>
              <w:right w:val="nil"/>
            </w:tcBorders>
            <w:shd w:val="clear" w:color="auto" w:fill="00A4C0"/>
          </w:tcPr>
          <w:p>
            <w:pPr>
              <w:pStyle w:val="TableParagraph"/>
              <w:spacing w:before="10" w:line="264" w:lineRule="exact"/>
              <w:ind w:left="27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w w:val="110"/>
                <w:sz w:val="22"/>
              </w:rPr>
              <w:t xml:space="preserve">Qëllimi i </w:t>
            </w:r>
            <w:r>
              <w:rPr>
                <w:rFonts w:ascii="Calibri" w:hAnsi="Calibri"/>
                <w:b/>
                <w:color w:val="FFFFFF"/>
                <w:w w:val="105"/>
                <w:sz w:val="22"/>
              </w:rPr>
              <w:t>trajtimit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1070"/>
          <w:jc w:val="left"/>
        </w:trPr>
        <w:tc>
          <w:tcPr>
            <w:tcW w:w="868" w:type="dxa"/>
            <w:vMerge/>
            <w:tcBorders>
              <w:left w:val="nil"/>
              <w:bottom w:val="nil"/>
            </w:tcBorders>
            <w:shd w:val="clear" w:color="auto" w:fill="00A4C0"/>
          </w:tcPr>
          <w:p/>
        </w:tc>
        <w:tc>
          <w:tcPr>
            <w:tcW w:w="868" w:type="dxa"/>
            <w:vMerge/>
            <w:tcBorders>
              <w:bottom w:val="nil"/>
            </w:tcBorders>
            <w:shd w:val="clear" w:color="auto" w:fill="00A4C0"/>
          </w:tcPr>
          <w:p/>
        </w:tc>
        <w:tc>
          <w:tcPr>
            <w:tcW w:w="868" w:type="dxa"/>
            <w:vMerge/>
            <w:tcBorders>
              <w:bottom w:val="nil"/>
            </w:tcBorders>
            <w:shd w:val="clear" w:color="auto" w:fill="00A4C0"/>
          </w:tcPr>
          <w:p/>
        </w:tc>
        <w:tc>
          <w:tcPr>
            <w:tcW w:w="2340" w:type="dxa"/>
            <w:tcBorders>
              <w:bottom w:val="nil"/>
            </w:tcBorders>
            <w:shd w:val="clear" w:color="auto" w:fill="00A4C0"/>
          </w:tcPr>
          <w:p>
            <w:pPr>
              <w:pStyle w:val="TableParagraph"/>
              <w:spacing w:before="142" w:line="264" w:lineRule="exact"/>
              <w:ind w:left="426" w:right="353" w:hanging="11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05"/>
                <w:sz w:val="22"/>
              </w:rPr>
              <w:t>Per parandalim</w:t>
            </w:r>
            <w:r>
              <w:rPr>
                <w:rFonts w:ascii="Calibri"/>
                <w:b/>
                <w:color w:val="FFFFFF"/>
                <w:w w:val="108"/>
                <w:sz w:val="22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2"/>
              </w:rPr>
              <w:t>primar(PP) apo</w:t>
            </w:r>
            <w:r>
              <w:rPr>
                <w:rFonts w:ascii="Calibri"/>
                <w:b/>
                <w:color w:val="FFFFFF"/>
                <w:w w:val="107"/>
                <w:sz w:val="22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2"/>
              </w:rPr>
              <w:t>sekondar(PS)</w:t>
            </w:r>
          </w:p>
        </w:tc>
        <w:tc>
          <w:tcPr>
            <w:tcW w:w="1373" w:type="dxa"/>
            <w:vMerge/>
            <w:tcBorders>
              <w:bottom w:val="nil"/>
            </w:tcBorders>
            <w:shd w:val="clear" w:color="auto" w:fill="00A4C0"/>
          </w:tcPr>
          <w:p/>
        </w:tc>
        <w:tc>
          <w:tcPr>
            <w:tcW w:w="1373" w:type="dxa"/>
            <w:tcBorders>
              <w:bottom w:val="nil"/>
            </w:tcBorders>
            <w:shd w:val="clear" w:color="auto" w:fill="00A4C0"/>
          </w:tcPr>
          <w:p>
            <w:pPr>
              <w:pStyle w:val="TableParagraph"/>
              <w:spacing w:before="137" w:line="264" w:lineRule="exact"/>
              <w:ind w:left="99" w:right="51" w:firstLine="24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10"/>
                <w:sz w:val="22"/>
              </w:rPr>
              <w:t>Niveli i LDL-ve para</w:t>
            </w:r>
          </w:p>
          <w:p>
            <w:pPr>
              <w:pStyle w:val="TableParagraph"/>
              <w:spacing w:before="1"/>
              <w:ind w:left="27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05"/>
                <w:sz w:val="22"/>
              </w:rPr>
              <w:t>trajtimit</w:t>
            </w:r>
          </w:p>
        </w:tc>
        <w:tc>
          <w:tcPr>
            <w:tcW w:w="1373" w:type="dxa"/>
            <w:tcBorders>
              <w:bottom w:val="nil"/>
              <w:right w:val="nil"/>
            </w:tcBorders>
            <w:shd w:val="clear" w:color="auto" w:fill="00A4C0"/>
          </w:tcPr>
          <w:p>
            <w:pPr>
              <w:pStyle w:val="TableParagraph"/>
              <w:spacing w:before="5" w:line="264" w:lineRule="exact"/>
              <w:ind w:left="74" w:right="7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w w:val="110"/>
                <w:sz w:val="22"/>
              </w:rPr>
              <w:t>Niveli I LDL- ve qe duhet arritur pas trajtimit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537"/>
          <w:jc w:val="left"/>
        </w:trPr>
        <w:tc>
          <w:tcPr>
            <w:tcW w:w="868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31"/>
              <w:ind w:left="52"/>
              <w:rPr>
                <w:sz w:val="22"/>
              </w:rPr>
            </w:pPr>
            <w:r>
              <w:rPr>
                <w:color w:val="231F20"/>
                <w:sz w:val="22"/>
              </w:rPr>
              <w:t>1.Sh</w:t>
            </w:r>
          </w:p>
        </w:tc>
        <w:tc>
          <w:tcPr>
            <w:tcW w:w="868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31"/>
              <w:ind w:left="52"/>
              <w:rPr>
                <w:sz w:val="22"/>
              </w:rPr>
            </w:pPr>
            <w:r>
              <w:rPr>
                <w:color w:val="231F20"/>
                <w:sz w:val="22"/>
              </w:rPr>
              <w:t>M</w:t>
            </w:r>
          </w:p>
        </w:tc>
        <w:tc>
          <w:tcPr>
            <w:tcW w:w="868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20"/>
              <w:ind w:left="52"/>
              <w:rPr>
                <w:sz w:val="16"/>
              </w:rPr>
            </w:pPr>
            <w:r>
              <w:rPr>
                <w:color w:val="231F20"/>
                <w:sz w:val="22"/>
              </w:rPr>
              <w:t>54</w:t>
            </w:r>
            <w:r>
              <w:rPr>
                <w:position w:val="7"/>
                <w:sz w:val="16"/>
              </w:rPr>
              <w:t>*</w:t>
            </w:r>
          </w:p>
        </w:tc>
        <w:tc>
          <w:tcPr>
            <w:tcW w:w="234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tabs>
                <w:tab w:val="left" w:pos="1974"/>
              </w:tabs>
              <w:spacing w:before="5" w:line="264" w:lineRule="exact"/>
              <w:ind w:left="51" w:right="49"/>
              <w:rPr>
                <w:sz w:val="22"/>
              </w:rPr>
            </w:pPr>
            <w:r>
              <w:rPr>
                <w:color w:val="231F20"/>
                <w:sz w:val="22"/>
              </w:rPr>
              <w:t>PP(Risku</w:t>
              <w:tab/>
              <w:t xml:space="preserve">CV </w:t>
            </w:r>
            <w:r>
              <w:rPr>
                <w:color w:val="231F20"/>
                <w:spacing w:val="-4"/>
                <w:sz w:val="22"/>
              </w:rPr>
              <w:t>10-vjecar&gt;10%)</w:t>
            </w:r>
          </w:p>
        </w:tc>
        <w:tc>
          <w:tcPr>
            <w:tcW w:w="1373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5" w:line="264" w:lineRule="exact"/>
              <w:ind w:left="51"/>
              <w:rPr>
                <w:sz w:val="22"/>
              </w:rPr>
            </w:pPr>
            <w:r>
              <w:rPr>
                <w:color w:val="231F20"/>
                <w:sz w:val="22"/>
              </w:rPr>
              <w:t>Simvastatine 20mg/dite</w:t>
            </w:r>
          </w:p>
        </w:tc>
        <w:tc>
          <w:tcPr>
            <w:tcW w:w="1373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5" w:line="264" w:lineRule="exact"/>
              <w:ind w:left="51"/>
              <w:rPr>
                <w:sz w:val="22"/>
              </w:rPr>
            </w:pPr>
            <w:r>
              <w:rPr>
                <w:color w:val="231F20"/>
                <w:sz w:val="22"/>
              </w:rPr>
              <w:t>LDL=160mg/ dl</w:t>
            </w:r>
          </w:p>
        </w:tc>
        <w:tc>
          <w:tcPr>
            <w:tcW w:w="1373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5" w:line="264" w:lineRule="exact"/>
              <w:ind w:left="51"/>
              <w:rPr>
                <w:sz w:val="22"/>
              </w:rPr>
            </w:pPr>
            <w:r>
              <w:rPr>
                <w:color w:val="231F20"/>
                <w:sz w:val="22"/>
              </w:rPr>
              <w:t>LDL&lt;100mg/ dl</w:t>
            </w:r>
          </w:p>
        </w:tc>
      </w:tr>
      <w:tr>
        <w:tblPrEx>
          <w:tblW w:w="0" w:type="auto"/>
          <w:jc w:val="left"/>
          <w:tblInd w:w="183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537"/>
          <w:jc w:val="left"/>
        </w:trPr>
        <w:tc>
          <w:tcPr>
            <w:tcW w:w="868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26"/>
              <w:ind w:left="51"/>
              <w:rPr>
                <w:sz w:val="22"/>
              </w:rPr>
            </w:pPr>
            <w:r>
              <w:rPr>
                <w:color w:val="231F20"/>
                <w:sz w:val="22"/>
              </w:rPr>
              <w:t>2.SH</w:t>
            </w:r>
          </w:p>
        </w:tc>
        <w:tc>
          <w:tcPr>
            <w:tcW w:w="868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26"/>
              <w:ind w:left="51"/>
              <w:rPr>
                <w:sz w:val="22"/>
              </w:rPr>
            </w:pPr>
            <w:r>
              <w:rPr>
                <w:color w:val="231F20"/>
                <w:sz w:val="22"/>
              </w:rPr>
              <w:t>F</w:t>
            </w:r>
          </w:p>
        </w:tc>
        <w:tc>
          <w:tcPr>
            <w:tcW w:w="868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26"/>
              <w:ind w:left="51"/>
              <w:rPr>
                <w:sz w:val="22"/>
              </w:rPr>
            </w:pPr>
            <w:r>
              <w:rPr>
                <w:color w:val="231F20"/>
                <w:sz w:val="22"/>
              </w:rPr>
              <w:t>60</w:t>
            </w:r>
          </w:p>
        </w:tc>
        <w:tc>
          <w:tcPr>
            <w:tcW w:w="234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26"/>
              <w:ind w:left="51"/>
              <w:rPr>
                <w:sz w:val="22"/>
              </w:rPr>
            </w:pPr>
            <w:r>
              <w:rPr>
                <w:color w:val="231F20"/>
                <w:sz w:val="22"/>
              </w:rPr>
              <w:t>PS(gjendje post IM)</w:t>
            </w:r>
          </w:p>
        </w:tc>
        <w:tc>
          <w:tcPr>
            <w:tcW w:w="137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line="264" w:lineRule="exact"/>
              <w:ind w:left="51"/>
              <w:rPr>
                <w:sz w:val="22"/>
              </w:rPr>
            </w:pPr>
            <w:r>
              <w:rPr>
                <w:color w:val="231F20"/>
                <w:sz w:val="22"/>
              </w:rPr>
              <w:t>Atorvastatin 40mg/dite</w:t>
            </w:r>
          </w:p>
        </w:tc>
        <w:tc>
          <w:tcPr>
            <w:tcW w:w="137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line="264" w:lineRule="exact"/>
              <w:ind w:left="51"/>
              <w:rPr>
                <w:sz w:val="22"/>
              </w:rPr>
            </w:pPr>
            <w:r>
              <w:rPr>
                <w:color w:val="231F20"/>
                <w:sz w:val="22"/>
              </w:rPr>
              <w:t>LDL=140mg/ dl</w:t>
            </w:r>
          </w:p>
        </w:tc>
        <w:tc>
          <w:tcPr>
            <w:tcW w:w="137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>
            <w:pPr>
              <w:pStyle w:val="TableParagraph"/>
              <w:spacing w:before="126"/>
              <w:ind w:left="51"/>
              <w:rPr>
                <w:sz w:val="22"/>
              </w:rPr>
            </w:pPr>
            <w:r>
              <w:rPr>
                <w:color w:val="231F20"/>
                <w:sz w:val="22"/>
              </w:rPr>
              <w:t>LDL&lt;70mg/dl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100"/>
        <w:ind w:left="1837"/>
      </w:pPr>
      <w:r>
        <w:rPr>
          <w:color w:val="231F20"/>
        </w:rPr>
        <w:t>Takimi i tjetër/i dytë u la me datë 11 Korrik 2016 në orën 12.00 deri 14.00.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3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17462</wp:posOffset>
            </wp:positionH>
            <wp:positionV relativeFrom="paragraph">
              <wp:posOffset>229641</wp:posOffset>
            </wp:positionV>
            <wp:extent cx="154019" cy="154019"/>
            <wp:effectExtent l="0" t="0" r="0" b="0"/>
            <wp:wrapTopAndBottom/>
            <wp:docPr id="215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133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7920367</wp:posOffset>
            </wp:positionH>
            <wp:positionV relativeFrom="paragraph">
              <wp:posOffset>229641</wp:posOffset>
            </wp:positionV>
            <wp:extent cx="154019" cy="154019"/>
            <wp:effectExtent l="0" t="0" r="0" b="0"/>
            <wp:wrapTopAndBottom/>
            <wp:docPr id="217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116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9"/>
        </w:rPr>
      </w:pPr>
    </w:p>
    <w:p>
      <w:pPr>
        <w:tabs>
          <w:tab w:val="right" w:pos="11940"/>
        </w:tabs>
        <w:spacing w:before="103"/>
        <w:ind w:left="1837" w:right="0" w:firstLine="0"/>
        <w:jc w:val="left"/>
        <w:rPr>
          <w:rFonts w:ascii="Candara" w:hAnsi="Candara"/>
          <w:b/>
          <w:sz w:val="24"/>
        </w:rPr>
      </w:pPr>
      <w:r>
        <w:rPr>
          <w:spacing w:val="2"/>
          <w:sz w:val="20"/>
        </w:rPr>
        <w:t xml:space="preserve">*Rastet </w:t>
      </w:r>
      <w:r>
        <w:rPr>
          <w:sz w:val="20"/>
        </w:rPr>
        <w:t xml:space="preserve">e përmendura më </w:t>
      </w:r>
      <w:r>
        <w:rPr>
          <w:spacing w:val="3"/>
          <w:sz w:val="20"/>
        </w:rPr>
        <w:t>lart</w:t>
      </w:r>
      <w:r>
        <w:rPr>
          <w:spacing w:val="-1"/>
          <w:sz w:val="20"/>
        </w:rPr>
        <w:t xml:space="preserve"> </w:t>
      </w:r>
      <w:r>
        <w:rPr>
          <w:sz w:val="20"/>
        </w:rPr>
        <w:t>janë shembuj</w:t>
      </w:r>
      <w:r>
        <w:rPr>
          <w:rFonts w:ascii="Calibri" w:hAnsi="Calibri"/>
          <w:b/>
          <w:color w:val="393D48"/>
          <w:position w:val="5"/>
          <w:sz w:val="24"/>
        </w:rPr>
        <w:tab/>
        <w:t>5</w:t>
      </w:r>
      <w:r>
        <w:rPr>
          <w:rFonts w:ascii="Candara" w:hAnsi="Candara"/>
          <w:b/>
          <w:color w:val="393D48"/>
          <w:position w:val="5"/>
          <w:sz w:val="24"/>
        </w:rPr>
        <w:t>4</w:t>
      </w:r>
    </w:p>
    <w:p>
      <w:pPr>
        <w:spacing w:after="0"/>
        <w:jc w:val="left"/>
        <w:rPr>
          <w:rFonts w:ascii="Candara" w:hAnsi="Candara"/>
          <w:sz w:val="24"/>
        </w:rPr>
      </w:pPr>
    </w:p>
    <w:sectPr>
      <w:pgSz w:w="12750" w:h="17680"/>
      <w:pgMar w:top="420" w:right="0" w:bottom="420" w:left="0" w:header="0" w:footer="223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Helvetica">
    <w:altName w:val="Helvetica"/>
    <w:charset w:val="00"/>
    <w:family w:val="swiss"/>
    <w:pitch w:val="variable"/>
    <w:sig w:usb0="00000000" w:usb1="00000000" w:usb2="00000000" w:usb3="00000000" w:csb0="00000001" w:csb1="00000000"/>
  </w:font>
  <w:font w:name="Calibri">
    <w:altName w:val="Calibri"/>
    <w:charset w:val="00"/>
    <w:family w:val="swiss"/>
    <w:pitch w:val="variable"/>
    <w:sig w:usb0="00000000" w:usb1="00000000" w:usb2="00000000" w:usb3="00000000" w:csb0="00000001" w:csb1="00000000"/>
  </w:font>
  <w:font w:name="Minion Pro">
    <w:altName w:val="Minion Pro"/>
    <w:charset w:val="00"/>
    <w:family w:val="roman"/>
    <w:pitch w:val="variable"/>
    <w:sig w:usb0="00000000" w:usb1="00000000" w:usb2="00000000" w:usb3="00000000" w:csb0="00000001" w:csb1="00000000"/>
  </w:font>
  <w:font w:name="Arial Black">
    <w:altName w:val="Arial Black"/>
    <w:charset w:val="00"/>
    <w:family w:val="swiss"/>
    <w:pitch w:val="variable"/>
    <w:sig w:usb0="00000000" w:usb1="00000000" w:usb2="00000000" w:usb3="00000000" w:csb0="00000001" w:csb1="00000000"/>
  </w:font>
  <w:font w:name="Palatino Linotype">
    <w:altName w:val="Palatino Linotype"/>
    <w:charset w:val="00"/>
    <w:family w:val="roman"/>
    <w:pitch w:val="variable"/>
    <w:sig w:usb0="00000000" w:usb1="00000000" w:usb2="00000000" w:usb3="00000000" w:csb0="00000001" w:csb1="00000000"/>
  </w:font>
  <w:font w:name="Lucida Sans Unicode">
    <w:altName w:val="Lucida Sans Unicode"/>
    <w:charset w:val="00"/>
    <w:family w:val="swiss"/>
    <w:pitch w:val="variable"/>
    <w:sig w:usb0="00000000" w:usb1="00000000" w:usb2="00000000" w:usb3="00000000" w:csb0="00000001" w:csb1="00000000"/>
  </w:font>
  <w:font w:name="Verdana">
    <w:altName w:val="Verdana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charset w:val="00"/>
    <w:family w:val="swiss"/>
    <w:pitch w:val="variable"/>
    <w:sig w:usb0="00000000" w:usb1="00000000" w:usb2="00000000" w:usb3="00000000" w:csb0="00000001" w:csb1="00000000"/>
  </w:font>
  <w:font w:name="Gill Sans MT">
    <w:altName w:val="Gill Sans MT"/>
    <w:charset w:val="00"/>
    <w:family w:val="swiss"/>
    <w:pitch w:val="variable"/>
    <w:sig w:usb0="00000000" w:usb1="00000000" w:usb2="00000000" w:usb3="00000000" w:csb0="00000001" w:csb1="00000000"/>
  </w:font>
  <w:font w:name="Lucida Sans">
    <w:altName w:val="Lucida Sans"/>
    <w:charset w:val="00"/>
    <w:family w:val="swiss"/>
    <w:pitch w:val="variable"/>
    <w:sig w:usb0="00000000" w:usb1="00000000" w:usb2="00000000" w:usb3="00000000" w:csb0="00000001" w:csb1="00000000"/>
  </w:font>
  <w:font w:name="Trebuchet MS">
    <w:altName w:val="Trebuchet MS"/>
    <w:charset w:val="00"/>
    <w:family w:val="swiss"/>
    <w:pitch w:val="variable"/>
    <w:sig w:usb0="00000000" w:usb1="00000000" w:usb2="00000000" w:usb3="00000000" w:csb0="00000001" w:csb1="00000000"/>
  </w:font>
  <w:font w:name="Playfair Display">
    <w:altName w:val="Playfair Display"/>
    <w:charset w:val="00"/>
    <w:family w:val="modern"/>
    <w:pitch w:val="variable"/>
    <w:sig w:usb0="00000000" w:usb1="00000000" w:usb2="00000000" w:usb3="00000000" w:csb0="00000001" w:csb1="00000000"/>
  </w:font>
  <w:font w:name="Comic Sans MS">
    <w:altName w:val="Comic Sans MS"/>
    <w:charset w:val="00"/>
    <w:family w:val="script"/>
    <w:pitch w:val="variable"/>
    <w:sig w:usb0="00000000" w:usb1="00000000" w:usb2="00000000" w:usb3="00000000" w:csb0="00000001" w:csb1="00000000"/>
  </w:font>
  <w:font w:name="Candara">
    <w:altName w:val="Candara"/>
    <w:charset w:val="00"/>
    <w:family w:val="swiss"/>
    <w:pitch w:val="variable"/>
    <w:sig w:usb0="00000000" w:usb1="00000000" w:usb2="00000000" w:usb3="00000000" w:csb0="00000001" w:csb1="00000000"/>
  </w:font>
  <w:font w:name="Segoe UI Semibold">
    <w:altName w:val="Segoe UI Semibold"/>
    <w:charset w:val="00"/>
    <w:family w:val="swiss"/>
    <w:pitch w:val="variable"/>
    <w:sig w:usb0="00000000" w:usb1="00000000" w:usb2="00000000" w:usb3="00000000" w:csb0="00000001" w:csb1="00000000"/>
  </w:font>
  <w:font w:name="Candara Light">
    <w:altName w:val="Candara Light"/>
    <w:charset w:val="00"/>
    <w:family w:val="swiss"/>
    <w:pitch w:val="variable"/>
    <w:sig w:usb0="00000000" w:usb1="00000000" w:usb2="00000000" w:usb3="00000000" w:csb0="00000001" w:csb1="00000000"/>
  </w:font>
  <w:font w:name="Lora Medium">
    <w:altName w:val="Lora Medium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4D4B"/>
    <w:multiLevelType w:val="hybridMultilevel"/>
    <w:tmpl w:val="00000000"/>
    <w:lvl w:ilvl="0">
      <w:start w:val="1"/>
      <w:numFmt w:val="decimal"/>
      <w:lvlText w:val="%1."/>
      <w:lvlJc w:val="left"/>
      <w:pPr>
        <w:ind w:left="2557" w:hanging="360"/>
        <w:jc w:val="left"/>
      </w:pPr>
      <w:rPr>
        <w:rFonts w:ascii="Calibri" w:eastAsia="Calibri" w:hAnsi="Calibri" w:cs="Calibri" w:hint="default"/>
        <w:b/>
        <w:bCs/>
        <w:color w:val="221F1F"/>
        <w:spacing w:val="-13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357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9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1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5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7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68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08" w:hanging="360"/>
      </w:pPr>
      <w:rPr>
        <w:rFonts w:hint="default"/>
      </w:rPr>
    </w:lvl>
  </w:abstractNum>
  <w:abstractNum w:abstractNumId="1">
    <w:nsid w:val="1C4554A4"/>
    <w:multiLevelType w:val="hybridMultilevel"/>
    <w:tmpl w:val="00000000"/>
    <w:lvl w:ilvl="0">
      <w:start w:val="1"/>
      <w:numFmt w:val="decimal"/>
      <w:lvlText w:val="%1."/>
      <w:lvlJc w:val="left"/>
      <w:pPr>
        <w:ind w:left="2557" w:hanging="360"/>
        <w:jc w:val="left"/>
      </w:pPr>
      <w:rPr>
        <w:rFonts w:ascii="Calibri" w:eastAsia="Calibri" w:hAnsi="Calibri" w:cs="Calibri" w:hint="default"/>
        <w:b/>
        <w:bCs/>
        <w:color w:val="221F1F"/>
        <w:spacing w:val="-13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357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9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1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5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7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68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08" w:hanging="360"/>
      </w:pPr>
      <w:rPr>
        <w:rFonts w:hint="default"/>
      </w:rPr>
    </w:lvl>
  </w:abstractNum>
  <w:abstractNum w:abstractNumId="2">
    <w:nsid w:val="1FA41A77"/>
    <w:multiLevelType w:val="hybridMultilevel"/>
    <w:tmpl w:val="00000000"/>
    <w:lvl w:ilvl="0">
      <w:start w:val="1"/>
      <w:numFmt w:val="decimal"/>
      <w:lvlText w:val="%1."/>
      <w:lvlJc w:val="left"/>
      <w:pPr>
        <w:ind w:left="2553" w:hanging="360"/>
        <w:jc w:val="left"/>
      </w:pPr>
      <w:rPr>
        <w:rFonts w:ascii="Calibri" w:eastAsia="Calibri" w:hAnsi="Calibri" w:cs="Calibri" w:hint="default"/>
        <w:b/>
        <w:bCs/>
        <w:color w:val="221F1F"/>
        <w:spacing w:val="-13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357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9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1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5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7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68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08" w:hanging="360"/>
      </w:pPr>
      <w:rPr>
        <w:rFonts w:hint="default"/>
      </w:rPr>
    </w:lvl>
  </w:abstractNum>
  <w:abstractNum w:abstractNumId="3">
    <w:nsid w:val="3FBE4664"/>
    <w:multiLevelType w:val="hybridMultilevel"/>
    <w:tmpl w:val="00000000"/>
    <w:lvl w:ilvl="0">
      <w:start w:val="1"/>
      <w:numFmt w:val="decimal"/>
      <w:lvlText w:val="%1."/>
      <w:lvlJc w:val="left"/>
      <w:pPr>
        <w:ind w:left="2557" w:hanging="360"/>
        <w:jc w:val="left"/>
      </w:pPr>
      <w:rPr>
        <w:rFonts w:ascii="Calibri" w:eastAsia="Calibri" w:hAnsi="Calibri" w:cs="Calibri" w:hint="default"/>
        <w:b/>
        <w:bCs/>
        <w:color w:val="221F1F"/>
        <w:spacing w:val="-13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357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9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1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5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7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68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0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widowControl w:val="0"/>
      <w:autoSpaceDE w:val="0"/>
      <w:autoSpaceDN w:val="0"/>
      <w:spacing w:before="36" w:line="1029" w:lineRule="exact"/>
      <w:ind w:left="1837"/>
      <w:outlineLvl w:val="1"/>
    </w:pPr>
    <w:rPr>
      <w:rFonts w:ascii="Calibri" w:eastAsia="Calibri" w:hAnsi="Calibri" w:cs="Calibri"/>
      <w:sz w:val="92"/>
      <w:szCs w:val="92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widowControl w:val="0"/>
      <w:autoSpaceDE w:val="0"/>
      <w:autoSpaceDN w:val="0"/>
      <w:spacing w:line="394" w:lineRule="exact"/>
      <w:ind w:left="1837"/>
      <w:outlineLvl w:val="3"/>
    </w:pPr>
    <w:rPr>
      <w:rFonts w:ascii="Calibri" w:eastAsia="Calibri" w:hAnsi="Calibri" w:cs="Calibri"/>
      <w:sz w:val="40"/>
      <w:szCs w:val="40"/>
      <w:lang w:val="en-US" w:eastAsia="en-US" w:bidi="ar-SA"/>
    </w:rPr>
  </w:style>
  <w:style w:type="paragraph" w:customStyle="1" w:styleId="Heading4">
    <w:name w:val="Heading 4"/>
    <w:basedOn w:val="Normal"/>
    <w:uiPriority w:val="1"/>
    <w:qFormat/>
    <w:pPr>
      <w:widowControl w:val="0"/>
      <w:autoSpaceDE w:val="0"/>
      <w:autoSpaceDN w:val="0"/>
      <w:outlineLvl w:val="4"/>
    </w:pPr>
    <w:rPr>
      <w:rFonts w:ascii="Minion Pro" w:eastAsia="Minion Pro" w:hAnsi="Minion Pro" w:cs="Minion Pro"/>
      <w:b/>
      <w:bCs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line="264" w:lineRule="exact"/>
      <w:ind w:left="2557" w:hanging="360"/>
    </w:pPr>
    <w:rPr>
      <w:rFonts w:ascii="Minion Pro" w:eastAsia="Minion Pro" w:hAnsi="Minion Pro" w:cs="Minion Pro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