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6668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295.7pt,18.6pt" to="545.4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before="37"/>
      </w:pPr>
      <w:r>
        <w:rPr>
          <w:color w:val="00A5BF"/>
          <w:spacing w:val="-15"/>
        </w:rPr>
        <w:t xml:space="preserve">ANEKS </w:t>
      </w:r>
      <w:r>
        <w:rPr>
          <w:color w:val="00A5BF"/>
        </w:rPr>
        <w:t>1</w:t>
      </w:r>
    </w:p>
    <w:p>
      <w:pPr>
        <w:pStyle w:val="Heading3"/>
        <w:spacing w:line="377" w:lineRule="exact"/>
      </w:pPr>
      <w:r>
        <w:rPr>
          <w:color w:val="00A5BF"/>
        </w:rPr>
        <w:t>Model me udhëzime për hartimin e kalendarit të</w:t>
      </w:r>
    </w:p>
    <w:p>
      <w:pPr>
        <w:spacing w:before="0" w:line="471" w:lineRule="exact"/>
        <w:ind w:left="1837" w:right="0" w:firstLine="0"/>
        <w:jc w:val="left"/>
        <w:rPr>
          <w:rFonts w:ascii="Calibri"/>
          <w:sz w:val="40"/>
        </w:rPr>
      </w:pPr>
      <w:r>
        <w:rPr>
          <w:rFonts w:ascii="Calibri"/>
          <w:color w:val="00A5BF"/>
          <w:sz w:val="40"/>
        </w:rPr>
        <w:t>takimeve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152" w:line="189" w:lineRule="auto"/>
        <w:ind w:left="1837" w:right="1835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Grupi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i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3"/>
          <w:sz w:val="24"/>
        </w:rPr>
        <w:t>Kolegëve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me</w:t>
      </w:r>
      <w:r>
        <w:rPr>
          <w:b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Shënoni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nëse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grupi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përbëhet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nga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mjekë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pacing w:val="-3"/>
          <w:sz w:val="24"/>
        </w:rPr>
        <w:t>dhe/ose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infermierë</w:t>
      </w:r>
      <w:r>
        <w:rPr>
          <w:i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të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QSH</w:t>
      </w:r>
      <w:r>
        <w:rPr>
          <w:b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 xml:space="preserve">Shënoni </w:t>
      </w:r>
      <w:r>
        <w:rPr>
          <w:i/>
          <w:color w:val="231F20"/>
          <w:sz w:val="24"/>
        </w:rPr>
        <w:t xml:space="preserve">emrin e qendrës shëndetësore </w:t>
      </w:r>
      <w:r>
        <w:rPr>
          <w:b/>
          <w:color w:val="231F20"/>
          <w:sz w:val="24"/>
        </w:rPr>
        <w:t xml:space="preserve">lidhur me </w:t>
      </w:r>
      <w:r>
        <w:rPr>
          <w:i/>
          <w:color w:val="231F20"/>
          <w:sz w:val="24"/>
        </w:rPr>
        <w:t>vendosni</w:t>
      </w:r>
      <w:r>
        <w:rPr>
          <w:i/>
          <w:color w:val="231F20"/>
          <w:spacing w:val="-34"/>
          <w:sz w:val="24"/>
        </w:rPr>
        <w:t xml:space="preserve"> </w:t>
      </w:r>
      <w:r>
        <w:rPr>
          <w:i/>
          <w:color w:val="231F20"/>
          <w:sz w:val="24"/>
        </w:rPr>
        <w:t>çështjen</w:t>
      </w:r>
    </w:p>
    <w:p>
      <w:pPr>
        <w:pStyle w:val="BodyText"/>
        <w:spacing w:before="1"/>
        <w:rPr>
          <w:i/>
          <w:sz w:val="35"/>
        </w:rPr>
      </w:pPr>
    </w:p>
    <w:p>
      <w:pPr>
        <w:pStyle w:val="Heading4"/>
        <w:ind w:left="1837"/>
        <w:jc w:val="both"/>
      </w:pPr>
      <w:r>
        <w:rPr>
          <w:color w:val="231F20"/>
        </w:rPr>
        <w:t>Qëllimi i përgjithshëm:</w:t>
      </w:r>
    </w:p>
    <w:p>
      <w:pPr>
        <w:spacing w:before="201"/>
        <w:ind w:left="1837" w:right="0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Përshkruani në mënyrë të përgjithshme qëllimin e ciklit të takimeve me një fjali, psh:</w:t>
      </w:r>
    </w:p>
    <w:p>
      <w:pPr>
        <w:pStyle w:val="ListParagraph"/>
        <w:numPr>
          <w:ilvl w:val="0"/>
          <w:numId w:val="1"/>
        </w:numPr>
        <w:tabs>
          <w:tab w:val="left" w:pos="2557"/>
          <w:tab w:val="left" w:pos="2558"/>
        </w:tabs>
        <w:spacing w:before="201" w:after="0" w:line="295" w:lineRule="exact"/>
        <w:ind w:left="2557" w:right="0" w:hanging="360"/>
        <w:jc w:val="left"/>
        <w:rPr>
          <w:i/>
          <w:sz w:val="24"/>
        </w:rPr>
      </w:pPr>
      <w:r>
        <w:rPr>
          <w:i/>
          <w:color w:val="231F20"/>
          <w:sz w:val="24"/>
        </w:rPr>
        <w:t>njohja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për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zbatim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nga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anëtarët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grupit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x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udhëzuesi/protokolli,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ose</w:t>
      </w:r>
    </w:p>
    <w:p>
      <w:pPr>
        <w:pStyle w:val="ListParagraph"/>
        <w:numPr>
          <w:ilvl w:val="0"/>
          <w:numId w:val="1"/>
        </w:numPr>
        <w:tabs>
          <w:tab w:val="left" w:pos="2557"/>
          <w:tab w:val="left" w:pos="2558"/>
        </w:tabs>
        <w:spacing w:before="0" w:after="0" w:line="264" w:lineRule="exact"/>
        <w:ind w:left="2557" w:right="0" w:hanging="360"/>
        <w:jc w:val="left"/>
        <w:rPr>
          <w:i/>
          <w:sz w:val="24"/>
        </w:rPr>
      </w:pPr>
      <w:r>
        <w:rPr>
          <w:i/>
          <w:color w:val="231F20"/>
          <w:sz w:val="24"/>
        </w:rPr>
        <w:t>aftësimi në përdorimin e x pajisje,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ose</w:t>
      </w:r>
    </w:p>
    <w:p>
      <w:pPr>
        <w:pStyle w:val="ListParagraph"/>
        <w:numPr>
          <w:ilvl w:val="0"/>
          <w:numId w:val="1"/>
        </w:numPr>
        <w:tabs>
          <w:tab w:val="left" w:pos="2557"/>
          <w:tab w:val="left" w:pos="2558"/>
        </w:tabs>
        <w:spacing w:before="14" w:after="0" w:line="194" w:lineRule="auto"/>
        <w:ind w:left="2557" w:right="1835" w:hanging="360"/>
        <w:jc w:val="left"/>
        <w:rPr>
          <w:i/>
          <w:sz w:val="24"/>
        </w:rPr>
      </w:pPr>
      <w:r>
        <w:rPr>
          <w:i/>
          <w:color w:val="231F20"/>
          <w:sz w:val="24"/>
        </w:rPr>
        <w:t>standardizimi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i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ndjekjes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dhe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vlerësimit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x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situate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shëndetësore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sipas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y</w:t>
      </w:r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 xml:space="preserve">dhëzuesi/protokolli </w:t>
      </w:r>
      <w:r>
        <w:rPr>
          <w:i/>
          <w:color w:val="231F20"/>
          <w:sz w:val="24"/>
        </w:rPr>
        <w:t>etj</w:t>
      </w:r>
    </w:p>
    <w:p>
      <w:pPr>
        <w:pStyle w:val="BodyText"/>
        <w:spacing w:before="13"/>
        <w:rPr>
          <w:i/>
          <w:sz w:val="34"/>
        </w:rPr>
      </w:pPr>
    </w:p>
    <w:p>
      <w:pPr>
        <w:pStyle w:val="Heading4"/>
        <w:ind w:left="1837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127838</wp:posOffset>
            </wp:positionV>
            <wp:extent cx="155575" cy="155575"/>
            <wp:effectExtent l="0" t="0" r="0" b="0"/>
            <wp:wrapNone/>
            <wp:docPr id="8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127838</wp:posOffset>
            </wp:positionV>
            <wp:extent cx="155575" cy="155575"/>
            <wp:effectExtent l="0" t="0" r="0" b="0"/>
            <wp:wrapNone/>
            <wp:docPr id="8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Qëllimet specifike:</w:t>
      </w:r>
    </w:p>
    <w:p>
      <w:pPr>
        <w:spacing w:before="230" w:line="264" w:lineRule="exact"/>
        <w:ind w:left="1837" w:right="1833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Përshkruani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në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mënyrë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specifike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qëllimet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ciklit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takimeve.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Qëllimet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specifike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shprehin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 xml:space="preserve">qëllimet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Takimeve,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kështu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numri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i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qëllimeve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specifike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mund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përkojë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me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numrin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takimeve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 xml:space="preserve">gjithë ciklit, por jo gjithmonë. Mundet që përmbushjes së një qëllimi specifik </w:t>
      </w:r>
      <w:r>
        <w:rPr>
          <w:i/>
          <w:color w:val="231F20"/>
          <w:spacing w:val="5"/>
          <w:sz w:val="24"/>
        </w:rPr>
        <w:t xml:space="preserve">t’i </w:t>
      </w:r>
      <w:r>
        <w:rPr>
          <w:i/>
          <w:color w:val="231F20"/>
          <w:sz w:val="24"/>
        </w:rPr>
        <w:t>dedikohen 2 takime ose më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shumë.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Radha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qëllimeve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specifike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mund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ndjekë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radhën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temave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takimeve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psh</w:t>
      </w:r>
    </w:p>
    <w:p>
      <w:pPr>
        <w:spacing w:before="264" w:line="264" w:lineRule="exact"/>
        <w:ind w:left="1837" w:right="1836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Evidentimi i eksperiencave/praktikave të anëtarëve të grupit lidhur me menaxhimin e x situate</w:t>
      </w:r>
      <w:r>
        <w:rPr>
          <w:i/>
          <w:color w:val="231F20"/>
          <w:spacing w:val="54"/>
          <w:sz w:val="24"/>
        </w:rPr>
        <w:t xml:space="preserve"> </w:t>
      </w:r>
      <w:r>
        <w:rPr>
          <w:i/>
          <w:color w:val="231F20"/>
          <w:sz w:val="24"/>
        </w:rPr>
        <w:t>shëndetësore,</w:t>
      </w:r>
    </w:p>
    <w:p>
      <w:pPr>
        <w:spacing w:before="264" w:line="264" w:lineRule="exact"/>
        <w:ind w:left="1837" w:right="1834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Evidentimi i udhëzuesve/protokolleve që anëtarët e grupit i referohen në praktikën e tyre klinike </w:t>
      </w:r>
      <w:r>
        <w:rPr>
          <w:i/>
          <w:color w:val="231F20"/>
          <w:sz w:val="24"/>
        </w:rPr>
        <w:t>etj</w:t>
      </w:r>
    </w:p>
    <w:p>
      <w:pPr>
        <w:spacing w:before="264" w:line="264" w:lineRule="exact"/>
        <w:ind w:left="1837" w:right="1833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Njohja për zbatim nga anëtarët e grupit të x njohurije/praktike/pajisje/udhëzuesi/protokolli, ose </w:t>
      </w:r>
      <w:r>
        <w:rPr>
          <w:i/>
          <w:color w:val="231F20"/>
          <w:sz w:val="24"/>
        </w:rPr>
        <w:t>Standartizimi i praktikës për ndjekjen dhe vlerësimin e x situatë shëndetësore sipas Protokollit të praktikës klinike __________</w:t>
      </w:r>
    </w:p>
    <w:p>
      <w:pPr>
        <w:pStyle w:val="BodyText"/>
        <w:spacing w:before="12"/>
        <w:rPr>
          <w:i/>
          <w:sz w:val="28"/>
        </w:rPr>
      </w:pPr>
    </w:p>
    <w:p>
      <w:pPr>
        <w:pStyle w:val="Heading4"/>
        <w:spacing w:before="100"/>
        <w:ind w:left="1837"/>
      </w:pPr>
      <w:r>
        <w:rPr>
          <w:color w:val="231F20"/>
        </w:rPr>
        <w:t>Materialet e punës:</w:t>
      </w:r>
    </w:p>
    <w:p>
      <w:pPr>
        <w:spacing w:before="230" w:line="264" w:lineRule="exact"/>
        <w:ind w:left="1837" w:right="1835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Nëse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keni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identifikuar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që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në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fazën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planifikimit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pacing w:val="-3"/>
          <w:sz w:val="24"/>
        </w:rPr>
        <w:t>Takimeve,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jepni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titullin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saktë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të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 xml:space="preserve">Materialit </w:t>
      </w:r>
      <w:r>
        <w:rPr>
          <w:i/>
          <w:color w:val="231F20"/>
          <w:sz w:val="24"/>
        </w:rPr>
        <w:t xml:space="preserve">dhe ku gjindet d.m.th-në adresen elektronike. </w:t>
      </w:r>
      <w:r>
        <w:rPr>
          <w:i/>
          <w:color w:val="231F20"/>
          <w:spacing w:val="-3"/>
          <w:sz w:val="24"/>
        </w:rPr>
        <w:t xml:space="preserve">Varianti </w:t>
      </w:r>
      <w:r>
        <w:rPr>
          <w:i/>
          <w:color w:val="231F20"/>
          <w:sz w:val="24"/>
        </w:rPr>
        <w:t xml:space="preserve">elektronik i këtij dokumenti duhet të </w:t>
      </w:r>
      <w:r>
        <w:rPr>
          <w:i/>
          <w:color w:val="231F1F"/>
          <w:sz w:val="24"/>
        </w:rPr>
        <w:t>bashkëlidhet me setin e dokumentave për aplikim për akreditim tek</w:t>
      </w:r>
      <w:r>
        <w:rPr>
          <w:i/>
          <w:color w:val="231F1F"/>
          <w:spacing w:val="-37"/>
          <w:sz w:val="24"/>
        </w:rPr>
        <w:t xml:space="preserve"> </w:t>
      </w:r>
      <w:r>
        <w:rPr>
          <w:i/>
          <w:color w:val="231F1F"/>
          <w:sz w:val="24"/>
        </w:rPr>
        <w:t>AS</w:t>
      </w:r>
      <w:r>
        <w:rPr>
          <w:rFonts w:ascii="Times New Roman" w:hAnsi="Times New Roman"/>
          <w:i/>
          <w:sz w:val="24"/>
        </w:rPr>
        <w:t>CK-</w:t>
      </w:r>
      <w:r>
        <w:rPr>
          <w:i/>
          <w:color w:val="231F1F"/>
          <w:sz w:val="24"/>
        </w:rPr>
        <w:t>ja,</w:t>
      </w:r>
    </w:p>
    <w:p>
      <w:pPr>
        <w:pStyle w:val="ListParagraph"/>
        <w:numPr>
          <w:ilvl w:val="1"/>
          <w:numId w:val="2"/>
        </w:numPr>
        <w:tabs>
          <w:tab w:val="left" w:pos="2092"/>
        </w:tabs>
        <w:spacing w:before="32" w:after="0" w:line="208" w:lineRule="auto"/>
        <w:ind w:left="1833" w:right="1830" w:firstLine="8"/>
        <w:jc w:val="left"/>
        <w:rPr>
          <w:i/>
          <w:sz w:val="24"/>
        </w:rPr>
      </w:pPr>
      <w:r>
        <w:rPr>
          <w:i/>
          <w:color w:val="231F20"/>
          <w:sz w:val="24"/>
        </w:rPr>
        <w:t xml:space="preserve">h Protokolli i praktikës klinike të kujdesit antenatal në kujdesin shëndetësor parësor miratuar </w:t>
      </w:r>
      <w:r>
        <w:rPr>
          <w:i/>
          <w:color w:val="231F20"/>
          <w:sz w:val="24"/>
        </w:rPr>
        <w:t xml:space="preserve">nga Ministria e Shëndetësisë me Urdhër </w:t>
      </w:r>
      <w:r>
        <w:rPr>
          <w:i/>
          <w:color w:val="231F20"/>
          <w:spacing w:val="-4"/>
          <w:sz w:val="24"/>
        </w:rPr>
        <w:t xml:space="preserve">nr.62, </w:t>
      </w:r>
      <w:r>
        <w:rPr>
          <w:i/>
          <w:color w:val="231F20"/>
          <w:sz w:val="24"/>
        </w:rPr>
        <w:t xml:space="preserve">datë </w:t>
      </w:r>
      <w:r>
        <w:rPr>
          <w:i/>
          <w:color w:val="231F20"/>
          <w:spacing w:val="-5"/>
          <w:sz w:val="24"/>
        </w:rPr>
        <w:t xml:space="preserve">18.02.2014 </w:t>
      </w:r>
      <w:r>
        <w:rPr>
          <w:i/>
          <w:color w:val="00A4C0"/>
          <w:spacing w:val="-3"/>
          <w:sz w:val="24"/>
        </w:rPr>
        <w:t>https://shendetesia.gov.al/wpcontent/uploads/2018/01/PPK_ANTENATAL_QERSHOR_2014.pdf</w:t>
      </w:r>
    </w:p>
    <w:p>
      <w:pPr>
        <w:pStyle w:val="Heading4"/>
        <w:spacing w:before="105"/>
        <w:ind w:right="842"/>
        <w:jc w:val="right"/>
        <w:rPr>
          <w:rFonts w:ascii="Calibri"/>
        </w:rPr>
      </w:pPr>
      <w:r>
        <w:rPr>
          <w:rFonts w:ascii="Calibri"/>
          <w:color w:val="3A3F49"/>
          <w:w w:val="105"/>
        </w:rPr>
        <w:t>19</w:t>
      </w:r>
    </w:p>
    <w:p>
      <w:pPr>
        <w:spacing w:after="0"/>
        <w:jc w:val="right"/>
        <w:rPr>
          <w:rFonts w:ascii="Calibri"/>
        </w:rPr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6" style="mso-position-horizontal-relative:page;mso-wrap-distance-left:0;mso-wrap-distance-right:0;position:absolute;z-index:251662336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Heading4"/>
        <w:spacing w:before="124"/>
        <w:ind w:left="1837"/>
      </w:pPr>
      <w:r>
        <w:rPr>
          <w:color w:val="231F1F"/>
        </w:rPr>
        <w:t>Facilitatorë:</w:t>
      </w:r>
    </w:p>
    <w:p>
      <w:pPr>
        <w:spacing w:before="201"/>
        <w:ind w:left="1837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Jepni emër dhe mbiemër të facilitatores ose facilitatorëve kur janë më shumë se një</w:t>
      </w:r>
    </w:p>
    <w:p>
      <w:pPr>
        <w:spacing w:before="196" w:line="298" w:lineRule="exact"/>
        <w:ind w:left="1837" w:right="0" w:firstLine="0"/>
        <w:jc w:val="left"/>
        <w:rPr>
          <w:sz w:val="24"/>
        </w:rPr>
      </w:pPr>
      <w:r>
        <w:rPr>
          <w:b/>
          <w:color w:val="231F1F"/>
          <w:sz w:val="24"/>
        </w:rPr>
        <w:t>Vendi i takimeve</w:t>
      </w:r>
      <w:r>
        <w:rPr>
          <w:color w:val="231F1F"/>
          <w:sz w:val="24"/>
        </w:rPr>
        <w:t>: QSH …………………</w:t>
      </w:r>
    </w:p>
    <w:p>
      <w:pPr>
        <w:pStyle w:val="Heading4"/>
        <w:spacing w:line="298" w:lineRule="exact"/>
        <w:ind w:left="1837"/>
      </w:pPr>
      <w:r>
        <w:rPr>
          <w:color w:val="231F1F"/>
        </w:rPr>
        <w:t>Kalendari i takimeve</w:t>
      </w:r>
    </w:p>
    <w:p>
      <w:pPr>
        <w:spacing w:before="230" w:line="264" w:lineRule="exact"/>
        <w:ind w:left="1836" w:right="1907" w:firstLine="1"/>
        <w:jc w:val="left"/>
        <w:rPr>
          <w:i/>
          <w:sz w:val="24"/>
        </w:rPr>
      </w:pPr>
      <w:r>
        <w:rPr>
          <w:i/>
          <w:color w:val="231F1F"/>
          <w:sz w:val="24"/>
        </w:rPr>
        <w:t xml:space="preserve">Lidhur me Temat dhe numrin e takimeve, duhet të mbani parasysh se varen shumë nga çështja </w:t>
      </w:r>
      <w:r>
        <w:rPr>
          <w:i/>
          <w:color w:val="231F1F"/>
          <w:sz w:val="24"/>
        </w:rPr>
        <w:t>e grupit dhe qëllimi i përgjithshëm dhe ato specifikë. Gjatë hartimit të Kalendarit të Takimeve duhet të jeni krijues sepse nuk ka “receta të gatshme”. Modelet janë vetëm orientuese.</w:t>
      </w:r>
    </w:p>
    <w:p>
      <w:pPr>
        <w:pStyle w:val="BodyText"/>
        <w:spacing w:before="12"/>
        <w:rPr>
          <w:i/>
          <w:sz w:val="1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2715132</wp:posOffset>
            </wp:positionV>
            <wp:extent cx="154019" cy="154019"/>
            <wp:effectExtent l="0" t="0" r="0" b="0"/>
            <wp:wrapTopAndBottom/>
            <wp:docPr id="8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4.25pt;height:258.55pt;margin-top:14.81pt;margin-left:91.33pt;mso-position-horizontal-relative:page;mso-wrap-distance-left:0;mso-wrap-distance-right:0;position:absolute;z-index:251661312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8"/>
                    <w:gridCol w:w="4430"/>
                    <w:gridCol w:w="2055"/>
                    <w:gridCol w:w="2044"/>
                  </w:tblGrid>
                  <w:tr>
                    <w:tblPrEx>
                      <w:tblW w:w="0" w:type="auto"/>
                      <w:jc w:val="lef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935"/>
                      <w:jc w:val="left"/>
                    </w:trPr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Nr.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93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Temat e Takimeve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82" w:line="264" w:lineRule="exact"/>
                          <w:ind w:left="145" w:right="146" w:firstLine="22"/>
                          <w:jc w:val="both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24"/>
                          </w:rPr>
                          <w:t xml:space="preserve">Periudha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 xml:space="preserve">kohore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w w:val="105"/>
                            <w:sz w:val="24"/>
                          </w:rPr>
                          <w:t xml:space="preserve">(një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ditë nga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24"/>
                          </w:rPr>
                          <w:t xml:space="preserve">java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që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përshkruhet)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4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Ora e takimit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039"/>
                      <w:jc w:val="left"/>
                    </w:trPr>
                    <w:tc>
                      <w:tcPr>
                        <w:tcW w:w="538" w:type="dxa"/>
                        <w:tcBorders>
                          <w:top w:val="nil"/>
                          <w:left w:val="single" w:sz="6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1F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6" w:line="264" w:lineRule="exact"/>
                          <w:ind w:left="111" w:right="99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sz w:val="24"/>
                          </w:rPr>
                          <w:t xml:space="preserve">Temat ndjekin radhën e qëllimeve specifike </w:t>
                        </w:r>
                        <w:r>
                          <w:rPr>
                            <w:i/>
                            <w:color w:val="231F1F"/>
                            <w:sz w:val="24"/>
                          </w:rPr>
                          <w:t xml:space="preserve">psh </w:t>
                        </w:r>
                        <w:r>
                          <w:rPr>
                            <w:color w:val="231F1F"/>
                            <w:sz w:val="24"/>
                          </w:rPr>
                          <w:t xml:space="preserve">Diskutim lidhur me praktikën e përditëshme të anëtarëve të grupit lidhur </w:t>
                        </w:r>
                        <w:r>
                          <w:rPr>
                            <w:color w:val="231F1F"/>
                            <w:sz w:val="24"/>
                          </w:rPr>
                          <w:t>me menaxhimin e x situate shëndetësore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6" w:line="264" w:lineRule="exact"/>
                          <w:ind w:left="109" w:right="11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Jepni një javë brenda së cilës ju duhët të ndani datën e takimit. Një javë përpara takimit saktësoni datën bëni axhendën dhe ia </w:t>
                        </w:r>
                        <w:r>
                          <w:rPr>
                            <w:color w:val="231F1F"/>
                            <w:sz w:val="24"/>
                          </w:rPr>
                          <w:t xml:space="preserve">dërgoni </w:t>
                        </w:r>
                        <w:r>
                          <w:rPr>
                            <w:sz w:val="24"/>
                          </w:rPr>
                          <w:t>ASCK-</w:t>
                        </w:r>
                        <w:r>
                          <w:rPr>
                            <w:color w:val="231F1F"/>
                            <w:sz w:val="24"/>
                          </w:rPr>
                          <w:t>së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6" w:line="264" w:lineRule="exact"/>
                          <w:ind w:left="104" w:right="707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sz w:val="24"/>
                          </w:rPr>
                          <w:t>Jepni orën e fillimit dhe të mbarimit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04" w:right="133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sz w:val="24"/>
                          </w:rPr>
                          <w:t>të kohës efektive</w:t>
                        </w:r>
                        <w:r>
                          <w:rPr>
                            <w:color w:val="FF1318"/>
                            <w:sz w:val="24"/>
                          </w:rPr>
                          <w:t xml:space="preserve">* </w:t>
                        </w:r>
                        <w:r>
                          <w:rPr>
                            <w:color w:val="231F1F"/>
                            <w:sz w:val="24"/>
                          </w:rPr>
                          <w:t>të Takimit që zakonisht zgjat 2 orë. Ora e takimit zakonisht mbahet e njëjta për çdo Takim psh 12: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sz w:val="24"/>
                          </w:rPr>
                          <w:t>30-14:30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401"/>
                      <w:jc w:val="left"/>
                    </w:trPr>
                    <w:tc>
                      <w:tcPr>
                        <w:tcW w:w="538" w:type="dxa"/>
                        <w:tcBorders>
                          <w:top w:val="single" w:sz="4" w:space="0" w:color="00A4C0"/>
                          <w:left w:val="single" w:sz="6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44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401"/>
                      <w:jc w:val="left"/>
                    </w:trPr>
                    <w:tc>
                      <w:tcPr>
                        <w:tcW w:w="538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44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/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89"/>
                      <w:jc w:val="left"/>
                    </w:trPr>
                    <w:tc>
                      <w:tcPr>
                        <w:tcW w:w="538" w:type="dxa"/>
                        <w:tcBorders>
                          <w:top w:val="single" w:sz="4" w:space="0" w:color="00A4C0"/>
                          <w:left w:val="single" w:sz="4" w:space="0" w:color="00A4C0"/>
                          <w:bottom w:val="nil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9073"/>
                          </w:tabs>
                          <w:spacing w:before="39"/>
                          <w:ind w:left="1" w:right="-85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  <w:u w:val="single" w:color="00A4C0"/>
                          </w:rPr>
                          <w:t xml:space="preserve">  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24"/>
                            <w:u w:val="single" w:color="00A4C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00A4C0"/>
                          </w:rPr>
                          <w:t>4.</w:t>
                          <w:tab/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00A4C0"/>
                          <w:left w:val="single" w:sz="4" w:space="0" w:color="00A4C0"/>
                          <w:bottom w:val="nil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single" w:sz="4" w:space="0" w:color="00A4C0"/>
                          <w:left w:val="single" w:sz="4" w:space="0" w:color="00A4C0"/>
                          <w:bottom w:val="nil"/>
                          <w:right w:val="single" w:sz="4" w:space="0" w:color="00A4C0"/>
                        </w:tcBorders>
                      </w:tcPr>
                      <w:p/>
                    </w:tc>
                    <w:tc>
                      <w:tcPr>
                        <w:tcW w:w="2044" w:type="dxa"/>
                        <w:tcBorders>
                          <w:top w:val="single" w:sz="4" w:space="0" w:color="00A4C0"/>
                          <w:left w:val="single" w:sz="4" w:space="0" w:color="00A4C0"/>
                          <w:bottom w:val="nil"/>
                          <w:right w:val="single" w:sz="4" w:space="0" w:color="00A4C0"/>
                        </w:tcBorders>
                      </w:tcPr>
                      <w:p/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2715132</wp:posOffset>
            </wp:positionV>
            <wp:extent cx="154019" cy="154019"/>
            <wp:effectExtent l="0" t="0" r="0" b="0"/>
            <wp:wrapTopAndBottom/>
            <wp:docPr id="8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9"/>
        <w:ind w:left="1881"/>
      </w:pPr>
      <w:r>
        <w:t>*Orët reale të aktivitetit pa përfshirë kohën e regjistrimit, përshëndetjet, pushimet.</w:t>
      </w:r>
    </w:p>
    <w:p>
      <w:pPr>
        <w:pStyle w:val="Heading4"/>
        <w:spacing w:before="152" w:line="261" w:lineRule="auto"/>
        <w:ind w:left="1891" w:right="9571" w:firstLine="28"/>
      </w:pPr>
      <w:r>
        <w:rPr>
          <w:color w:val="231F1F"/>
        </w:rPr>
        <w:t xml:space="preserve">Anëtarët: </w:t>
      </w:r>
      <w:r>
        <w:t>Grupi 1</w:t>
      </w:r>
    </w:p>
    <w:tbl>
      <w:tblPr>
        <w:tblStyle w:val="TableNormal"/>
        <w:tblW w:w="0" w:type="auto"/>
        <w:jc w:val="left"/>
        <w:tblInd w:w="1852" w:type="dxa"/>
        <w:tblBorders>
          <w:top w:val="single" w:sz="4" w:space="0" w:color="00A4C0"/>
          <w:left w:val="single" w:sz="4" w:space="0" w:color="00A4C0"/>
          <w:bottom w:val="single" w:sz="4" w:space="0" w:color="00A4C0"/>
          <w:right w:val="single" w:sz="4" w:space="0" w:color="00A4C0"/>
          <w:insideH w:val="single" w:sz="4" w:space="0" w:color="00A4C0"/>
          <w:insideV w:val="single" w:sz="4" w:space="0" w:color="00A4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4427"/>
        <w:gridCol w:w="2055"/>
      </w:tblGrid>
      <w:tr>
        <w:tblPrEx>
          <w:tblW w:w="0" w:type="auto"/>
          <w:jc w:val="left"/>
          <w:tblInd w:w="1852" w:type="dxa"/>
          <w:tblBorders>
            <w:top w:val="single" w:sz="4" w:space="0" w:color="00A4C0"/>
            <w:left w:val="single" w:sz="4" w:space="0" w:color="00A4C0"/>
            <w:bottom w:val="single" w:sz="4" w:space="0" w:color="00A4C0"/>
            <w:right w:val="single" w:sz="4" w:space="0" w:color="00A4C0"/>
            <w:insideH w:val="single" w:sz="4" w:space="0" w:color="00A4C0"/>
            <w:insideV w:val="single" w:sz="4" w:space="0" w:color="00A4C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/>
        </w:tc>
        <w:tc>
          <w:tcPr>
            <w:tcW w:w="4427" w:type="dxa"/>
          </w:tcPr>
          <w:p>
            <w:pPr>
              <w:pStyle w:val="TableParagraph"/>
              <w:spacing w:before="5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Emër mbiemër</w:t>
            </w:r>
          </w:p>
        </w:tc>
        <w:tc>
          <w:tcPr>
            <w:tcW w:w="2055" w:type="dxa"/>
          </w:tcPr>
          <w:p>
            <w:pPr>
              <w:pStyle w:val="TableParagraph"/>
              <w:spacing w:before="1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Pozicioni</w:t>
            </w:r>
          </w:p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93"/>
          <w:jc w:val="left"/>
        </w:trPr>
        <w:tc>
          <w:tcPr>
            <w:tcW w:w="536" w:type="dxa"/>
          </w:tcPr>
          <w:p>
            <w:pPr>
              <w:pStyle w:val="TableParagraph"/>
              <w:spacing w:before="3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30"/>
              <w:ind w:left="162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2.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30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93"/>
          <w:jc w:val="left"/>
        </w:trPr>
        <w:tc>
          <w:tcPr>
            <w:tcW w:w="536" w:type="dxa"/>
            <w:tcBorders>
              <w:bottom w:val="nil"/>
            </w:tcBorders>
          </w:tcPr>
          <w:p>
            <w:pPr>
              <w:pStyle w:val="TableParagraph"/>
              <w:tabs>
                <w:tab w:val="left" w:pos="7007"/>
              </w:tabs>
              <w:spacing w:before="30"/>
              <w:ind w:left="-5" w:right="-6483"/>
              <w:rPr>
                <w:b/>
                <w:sz w:val="24"/>
              </w:rPr>
            </w:pPr>
            <w:r>
              <w:rPr>
                <w:b/>
                <w:sz w:val="24"/>
                <w:u w:val="single" w:color="00A4C0"/>
              </w:rPr>
              <w:t xml:space="preserve">  </w:t>
            </w:r>
            <w:r>
              <w:rPr>
                <w:b/>
                <w:spacing w:val="15"/>
                <w:sz w:val="24"/>
                <w:u w:val="single" w:color="00A4C0"/>
              </w:rPr>
              <w:t xml:space="preserve"> </w:t>
            </w:r>
            <w:r>
              <w:rPr>
                <w:b/>
                <w:sz w:val="24"/>
                <w:u w:val="single" w:color="00A4C0"/>
              </w:rPr>
              <w:t>4.</w:t>
              <w:tab/>
            </w:r>
          </w:p>
        </w:tc>
        <w:tc>
          <w:tcPr>
            <w:tcW w:w="4427" w:type="dxa"/>
            <w:tcBorders>
              <w:bottom w:val="nil"/>
            </w:tcBorders>
          </w:tcPr>
          <w:p/>
        </w:tc>
        <w:tc>
          <w:tcPr>
            <w:tcW w:w="2055" w:type="dxa"/>
            <w:tcBorders>
              <w:bottom w:val="nil"/>
            </w:tcBorders>
          </w:tcPr>
          <w:p/>
        </w:tc>
      </w:tr>
    </w:tbl>
    <w:p>
      <w:pPr>
        <w:spacing w:before="130"/>
        <w:ind w:left="1924" w:right="0" w:firstLine="0"/>
        <w:jc w:val="left"/>
        <w:rPr>
          <w:b/>
          <w:sz w:val="24"/>
        </w:rPr>
      </w:pPr>
      <w:r>
        <w:rPr>
          <w:b/>
          <w:sz w:val="24"/>
        </w:rPr>
        <w:t>Grupi 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829" w:right="0" w:firstLine="0"/>
        <w:jc w:val="left"/>
        <w:rPr>
          <w:rFonts w:ascii="Calibri"/>
          <w:b/>
          <w:sz w:val="24"/>
        </w:rPr>
      </w:pPr>
      <w:r>
        <w:pict>
          <v:shape id="_x0000_s1028" type="#_x0000_t202" style="width:351.65pt;height:100.5pt;margin-top:-91.94pt;margin-left:92.62pt;mso-position-horizontal-relative:page;position:absolute;z-index:251665408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left"/>
                    <w:tblBorders>
                      <w:top w:val="single" w:sz="4" w:space="0" w:color="00A4C0"/>
                      <w:left w:val="single" w:sz="4" w:space="0" w:color="00A4C0"/>
                      <w:bottom w:val="single" w:sz="4" w:space="0" w:color="00A4C0"/>
                      <w:right w:val="single" w:sz="4" w:space="0" w:color="00A4C0"/>
                      <w:insideH w:val="single" w:sz="4" w:space="0" w:color="00A4C0"/>
                      <w:insideV w:val="single" w:sz="4" w:space="0" w:color="00A4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6"/>
                    <w:gridCol w:w="4427"/>
                    <w:gridCol w:w="2055"/>
                  </w:tblGrid>
                  <w:tr>
                    <w:tblPrEx>
                      <w:tblW w:w="0" w:type="auto"/>
                      <w:jc w:val="left"/>
                      <w:tblBorders>
                        <w:top w:val="single" w:sz="4" w:space="0" w:color="00A4C0"/>
                        <w:left w:val="single" w:sz="4" w:space="0" w:color="00A4C0"/>
                        <w:bottom w:val="single" w:sz="4" w:space="0" w:color="00A4C0"/>
                        <w:right w:val="single" w:sz="4" w:space="0" w:color="00A4C0"/>
                        <w:insideH w:val="single" w:sz="4" w:space="0" w:color="00A4C0"/>
                        <w:insideV w:val="single" w:sz="4" w:space="0" w:color="00A4C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404"/>
                      <w:jc w:val="left"/>
                    </w:trPr>
                    <w:tc>
                      <w:tcPr>
                        <w:tcW w:w="536" w:type="dxa"/>
                      </w:tcPr>
                      <w:p/>
                    </w:tc>
                    <w:tc>
                      <w:tcPr>
                        <w:tcW w:w="4427" w:type="dxa"/>
                      </w:tcPr>
                      <w:p>
                        <w:pPr>
                          <w:pStyle w:val="TableParagraph"/>
                          <w:spacing w:before="62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Emër mbiemër</w:t>
                        </w:r>
                      </w:p>
                    </w:tc>
                    <w:tc>
                      <w:tcPr>
                        <w:tcW w:w="2055" w:type="dxa"/>
                      </w:tcPr>
                      <w:p>
                        <w:pPr>
                          <w:pStyle w:val="TableParagraph"/>
                          <w:spacing w:before="29"/>
                          <w:ind w:left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Pozicioni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93"/>
                      <w:jc w:val="lef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29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427" w:type="dxa"/>
                      </w:tcPr>
                      <w:p/>
                    </w:tc>
                    <w:tc>
                      <w:tcPr>
                        <w:tcW w:w="2055" w:type="dxa"/>
                      </w:tcPr>
                      <w:p/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404"/>
                      <w:jc w:val="lef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29"/>
                          <w:ind w:left="2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1F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427" w:type="dxa"/>
                      </w:tcPr>
                      <w:p/>
                    </w:tc>
                    <w:tc>
                      <w:tcPr>
                        <w:tcW w:w="2055" w:type="dxa"/>
                      </w:tcPr>
                      <w:p/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404"/>
                      <w:jc w:val="lef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29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427" w:type="dxa"/>
                      </w:tcPr>
                      <w:p/>
                    </w:tc>
                    <w:tc>
                      <w:tcPr>
                        <w:tcW w:w="2055" w:type="dxa"/>
                      </w:tcPr>
                      <w:p/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93"/>
                      <w:jc w:val="left"/>
                    </w:trPr>
                    <w:tc>
                      <w:tcPr>
                        <w:tcW w:w="5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7007"/>
                          </w:tabs>
                          <w:spacing w:before="29"/>
                          <w:ind w:left="-5" w:right="-64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 w:color="00A4C0"/>
                          </w:rPr>
                          <w:t xml:space="preserve">    </w:t>
                        </w:r>
                        <w:r>
                          <w:rPr>
                            <w:b/>
                            <w:spacing w:val="-23"/>
                            <w:sz w:val="24"/>
                            <w:u w:val="single" w:color="00A4C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00A4C0"/>
                          </w:rPr>
                          <w:t>4.</w:t>
                          <w:tab/>
                        </w:r>
                      </w:p>
                    </w:tc>
                    <w:tc>
                      <w:tcPr>
                        <w:tcW w:w="4427" w:type="dxa"/>
                        <w:tcBorders>
                          <w:bottom w:val="nil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bottom w:val="nil"/>
                        </w:tcBorders>
                      </w:tcPr>
                      <w:p/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b/>
          <w:color w:val="3A3F49"/>
          <w:w w:val="105"/>
          <w:sz w:val="24"/>
        </w:rPr>
        <w:t>20</w:t>
      </w:r>
    </w:p>
    <w:p>
      <w:pPr>
        <w:spacing w:after="0"/>
        <w:jc w:val="left"/>
        <w:rPr>
          <w:rFonts w:ascii="Calibri"/>
          <w:sz w:val="24"/>
        </w:rPr>
      </w:pP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6074"/>
    <w:multiLevelType w:val="hybridMultilevel"/>
    <w:tmpl w:val="00000000"/>
    <w:lvl w:ilvl="0">
      <w:start w:val="0"/>
      <w:numFmt w:val="bullet"/>
      <w:lvlText w:val="•"/>
      <w:lvlJc w:val="left"/>
      <w:pPr>
        <w:ind w:left="2557" w:hanging="361"/>
      </w:pPr>
      <w:rPr>
        <w:rFonts w:ascii="Calibri" w:eastAsia="Calibri" w:hAnsi="Calibri" w:cs="Calibri" w:hint="default"/>
        <w:b/>
        <w:bCs/>
        <w:color w:val="231F20"/>
        <w:w w:val="62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1"/>
      </w:pPr>
      <w:rPr>
        <w:rFonts w:hint="default"/>
      </w:rPr>
    </w:lvl>
  </w:abstractNum>
  <w:abstractNum w:abstractNumId="1">
    <w:nsid w:val="27E22022"/>
    <w:multiLevelType w:val="hybridMultilevel"/>
    <w:tmpl w:val="00000000"/>
    <w:lvl w:ilvl="0">
      <w:start w:val="16"/>
      <w:numFmt w:val="lowerLetter"/>
      <w:lvlText w:val="%1"/>
      <w:lvlJc w:val="left"/>
      <w:pPr>
        <w:ind w:left="1833" w:hanging="251"/>
        <w:jc w:val="left"/>
      </w:pPr>
      <w:rPr>
        <w:rFonts w:hint="default"/>
      </w:rPr>
    </w:lvl>
    <w:lvl w:ilvl="1">
      <w:start w:val="19"/>
      <w:numFmt w:val="lowerLetter"/>
      <w:lvlText w:val="%1.%2"/>
      <w:lvlJc w:val="left"/>
      <w:pPr>
        <w:ind w:left="1833" w:hanging="251"/>
        <w:jc w:val="left"/>
      </w:pPr>
      <w:rPr>
        <w:rFonts w:ascii="Minion Pro" w:eastAsia="Minion Pro" w:hAnsi="Minion Pro" w:cs="Minion Pro" w:hint="default"/>
        <w:i/>
        <w:color w:val="231F20"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557" w:hanging="361"/>
        <w:jc w:val="left"/>
      </w:pPr>
      <w:rPr>
        <w:rFonts w:ascii="Calibri" w:eastAsia="Calibri" w:hAnsi="Calibri" w:cs="Calibri" w:hint="default"/>
        <w:b/>
        <w:bCs/>
        <w:color w:val="231F20"/>
        <w:spacing w:val="-1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482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1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5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8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line="264" w:lineRule="exact"/>
      <w:ind w:left="2557" w:hanging="360"/>
    </w:pPr>
    <w:rPr>
      <w:rFonts w:ascii="Minion Pro" w:eastAsia="Minion Pro" w:hAnsi="Minion Pro" w:cs="Minion Pr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